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48" w:beforeLines="400" w:line="360" w:lineRule="auto"/>
        <w:jc w:val="center"/>
        <w:rPr>
          <w:rFonts w:hint="default" w:ascii="Times New Roman" w:hAnsi="Times New Roman" w:eastAsia="楷体" w:cs="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before="469" w:beforeLines="150" w:line="240" w:lineRule="auto"/>
        <w:jc w:val="center"/>
        <w:textAlignment w:val="auto"/>
        <w:rPr>
          <w:rFonts w:hint="default" w:ascii="Times New Roman" w:hAnsi="Times New Roman" w:eastAsia="黑体" w:cs="Times New Roman"/>
          <w:b/>
          <w:bCs/>
          <w:color w:val="auto"/>
          <w:sz w:val="48"/>
          <w:szCs w:val="48"/>
          <w:lang w:eastAsia="zh-CN"/>
        </w:rPr>
      </w:pPr>
      <w:r>
        <w:rPr>
          <w:rFonts w:hint="eastAsia" w:ascii="Times New Roman" w:hAnsi="Times New Roman" w:eastAsia="黑体" w:cs="Times New Roman"/>
          <w:b/>
          <w:bCs/>
          <w:color w:val="auto"/>
          <w:sz w:val="48"/>
          <w:szCs w:val="48"/>
          <w:lang w:eastAsia="zh-CN"/>
        </w:rPr>
        <w:t>内蒙古</w:t>
      </w:r>
      <w:r>
        <w:rPr>
          <w:rFonts w:hint="eastAsia" w:ascii="Times New Roman" w:hAnsi="Times New Roman" w:eastAsia="黑体" w:cs="Times New Roman"/>
          <w:b/>
          <w:bCs/>
          <w:color w:val="auto"/>
          <w:sz w:val="48"/>
          <w:szCs w:val="48"/>
          <w:lang w:val="en-US" w:eastAsia="zh-CN"/>
        </w:rPr>
        <w:t>圣钒科技新能源</w:t>
      </w:r>
      <w:r>
        <w:rPr>
          <w:rFonts w:hint="eastAsia" w:ascii="Times New Roman" w:hAnsi="Times New Roman" w:eastAsia="黑体" w:cs="Times New Roman"/>
          <w:b/>
          <w:bCs/>
          <w:color w:val="auto"/>
          <w:sz w:val="48"/>
          <w:szCs w:val="48"/>
          <w:lang w:eastAsia="zh-CN"/>
        </w:rPr>
        <w:t>有限公司</w:t>
      </w:r>
    </w:p>
    <w:p>
      <w:pPr>
        <w:keepNext w:val="0"/>
        <w:keepLines w:val="0"/>
        <w:pageBreakBefore w:val="0"/>
        <w:widowControl w:val="0"/>
        <w:kinsoku/>
        <w:wordWrap/>
        <w:overflowPunct/>
        <w:topLinePunct w:val="0"/>
        <w:autoSpaceDE/>
        <w:autoSpaceDN/>
        <w:bidi w:val="0"/>
        <w:adjustRightInd/>
        <w:snapToGrid/>
        <w:spacing w:before="469" w:beforeLines="150" w:line="240" w:lineRule="auto"/>
        <w:jc w:val="center"/>
        <w:textAlignment w:val="auto"/>
        <w:rPr>
          <w:rFonts w:hint="default" w:ascii="Times New Roman" w:hAnsi="Times New Roman" w:eastAsia="黑体" w:cs="Times New Roman"/>
          <w:b/>
          <w:bCs/>
          <w:color w:val="auto"/>
          <w:sz w:val="48"/>
          <w:szCs w:val="48"/>
        </w:rPr>
      </w:pPr>
      <w:r>
        <w:rPr>
          <w:rFonts w:hint="default" w:ascii="Times New Roman" w:hAnsi="Times New Roman" w:eastAsia="黑体" w:cs="Times New Roman"/>
          <w:b/>
          <w:bCs/>
          <w:color w:val="auto"/>
          <w:sz w:val="48"/>
          <w:szCs w:val="48"/>
        </w:rPr>
        <w:t>碳足迹核算报告</w:t>
      </w:r>
    </w:p>
    <w:p>
      <w:pPr>
        <w:jc w:val="center"/>
        <w:rPr>
          <w:rFonts w:hint="default" w:ascii="Times New Roman" w:hAnsi="Times New Roman" w:eastAsia="仿宋" w:cs="Times New Roman"/>
          <w:color w:val="auto"/>
          <w:sz w:val="24"/>
          <w:szCs w:val="24"/>
        </w:rPr>
      </w:pPr>
    </w:p>
    <w:p>
      <w:pPr>
        <w:jc w:val="center"/>
        <w:rPr>
          <w:rFonts w:hint="default" w:ascii="Times New Roman" w:hAnsi="Times New Roman" w:eastAsia="仿宋" w:cs="Times New Roman"/>
          <w:color w:val="auto"/>
          <w:sz w:val="24"/>
          <w:szCs w:val="24"/>
        </w:rPr>
      </w:pPr>
    </w:p>
    <w:p>
      <w:pPr>
        <w:jc w:val="center"/>
        <w:rPr>
          <w:rFonts w:hint="default" w:ascii="Times New Roman" w:hAnsi="Times New Roman" w:eastAsia="仿宋" w:cs="Times New Roman"/>
          <w:color w:val="auto"/>
          <w:sz w:val="24"/>
          <w:szCs w:val="24"/>
        </w:rPr>
      </w:pPr>
    </w:p>
    <w:p>
      <w:pPr>
        <w:jc w:val="center"/>
        <w:rPr>
          <w:rFonts w:hint="default" w:ascii="Times New Roman" w:hAnsi="Times New Roman" w:eastAsia="仿宋" w:cs="Times New Roman"/>
          <w:color w:val="auto"/>
          <w:sz w:val="24"/>
          <w:szCs w:val="24"/>
        </w:rPr>
      </w:pPr>
    </w:p>
    <w:p>
      <w:pPr>
        <w:jc w:val="center"/>
        <w:rPr>
          <w:rFonts w:hint="default" w:ascii="Times New Roman" w:hAnsi="Times New Roman" w:eastAsia="仿宋" w:cs="Times New Roman"/>
          <w:color w:val="auto"/>
          <w:sz w:val="24"/>
          <w:szCs w:val="24"/>
        </w:rPr>
      </w:pPr>
    </w:p>
    <w:p>
      <w:pPr>
        <w:jc w:val="center"/>
        <w:rPr>
          <w:rFonts w:hint="default" w:ascii="Times New Roman" w:hAnsi="Times New Roman" w:eastAsia="仿宋" w:cs="Times New Roman"/>
          <w:color w:val="auto"/>
          <w:sz w:val="24"/>
          <w:szCs w:val="24"/>
        </w:rPr>
      </w:pPr>
    </w:p>
    <w:p>
      <w:pPr>
        <w:jc w:val="center"/>
        <w:rPr>
          <w:rFonts w:hint="default" w:ascii="Times New Roman" w:hAnsi="Times New Roman" w:eastAsia="仿宋" w:cs="Times New Roman"/>
          <w:color w:val="auto"/>
          <w:sz w:val="24"/>
          <w:szCs w:val="24"/>
        </w:rPr>
      </w:pPr>
    </w:p>
    <w:p>
      <w:pPr>
        <w:jc w:val="center"/>
        <w:rPr>
          <w:rFonts w:hint="default" w:ascii="Times New Roman" w:hAnsi="Times New Roman" w:eastAsia="仿宋" w:cs="Times New Roman"/>
          <w:color w:val="auto"/>
          <w:sz w:val="24"/>
          <w:szCs w:val="24"/>
        </w:rPr>
      </w:pPr>
    </w:p>
    <w:p>
      <w:pPr>
        <w:jc w:val="center"/>
        <w:rPr>
          <w:rFonts w:hint="default" w:ascii="Times New Roman" w:hAnsi="Times New Roman" w:eastAsia="仿宋" w:cs="Times New Roman"/>
          <w:color w:val="auto"/>
          <w:sz w:val="24"/>
          <w:szCs w:val="24"/>
        </w:rPr>
      </w:pPr>
    </w:p>
    <w:p>
      <w:pPr>
        <w:pStyle w:val="2"/>
        <w:rPr>
          <w:rFonts w:hint="default" w:ascii="Times New Roman" w:hAnsi="Times New Roman" w:eastAsia="仿宋" w:cs="Times New Roman"/>
          <w:color w:val="auto"/>
          <w:sz w:val="24"/>
          <w:szCs w:val="24"/>
        </w:rPr>
      </w:pPr>
    </w:p>
    <w:p>
      <w:pPr>
        <w:pStyle w:val="3"/>
        <w:rPr>
          <w:rFonts w:hint="default" w:ascii="Times New Roman" w:hAnsi="Times New Roman" w:eastAsia="仿宋" w:cs="Times New Roman"/>
          <w:color w:val="auto"/>
          <w:sz w:val="24"/>
          <w:szCs w:val="24"/>
        </w:rPr>
      </w:pPr>
    </w:p>
    <w:p>
      <w:pPr>
        <w:rPr>
          <w:rFonts w:hint="default" w:ascii="Times New Roman" w:hAnsi="Times New Roman" w:eastAsia="仿宋" w:cs="Times New Roman"/>
          <w:color w:val="auto"/>
          <w:sz w:val="24"/>
          <w:szCs w:val="24"/>
        </w:rPr>
      </w:pPr>
    </w:p>
    <w:p>
      <w:pPr>
        <w:pStyle w:val="2"/>
        <w:rPr>
          <w:rFonts w:hint="default" w:ascii="Times New Roman" w:hAnsi="Times New Roman" w:eastAsia="仿宋" w:cs="Times New Roman"/>
          <w:color w:val="auto"/>
          <w:sz w:val="24"/>
          <w:szCs w:val="24"/>
        </w:rPr>
      </w:pPr>
    </w:p>
    <w:p>
      <w:pPr>
        <w:pStyle w:val="3"/>
        <w:rPr>
          <w:rFonts w:hint="default" w:ascii="Times New Roman" w:hAnsi="Times New Roman" w:eastAsia="仿宋" w:cs="Times New Roman"/>
          <w:color w:val="auto"/>
          <w:sz w:val="24"/>
          <w:szCs w:val="24"/>
        </w:rPr>
      </w:pPr>
    </w:p>
    <w:p>
      <w:pPr>
        <w:rPr>
          <w:rFonts w:hint="default" w:ascii="Times New Roman" w:hAnsi="Times New Roman" w:eastAsia="仿宋" w:cs="Times New Roman"/>
          <w:color w:val="auto"/>
          <w:sz w:val="24"/>
          <w:szCs w:val="24"/>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3317875</wp:posOffset>
            </wp:positionH>
            <wp:positionV relativeFrom="paragraph">
              <wp:posOffset>132080</wp:posOffset>
            </wp:positionV>
            <wp:extent cx="1422400" cy="1422400"/>
            <wp:effectExtent l="0" t="0" r="6350" b="635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22400" cy="1422400"/>
                    </a:xfrm>
                    <a:prstGeom prst="rect">
                      <a:avLst/>
                    </a:prstGeom>
                    <a:noFill/>
                    <a:ln>
                      <a:noFill/>
                    </a:ln>
                  </pic:spPr>
                </pic:pic>
              </a:graphicData>
            </a:graphic>
          </wp:anchor>
        </w:drawing>
      </w:r>
    </w:p>
    <w:p>
      <w:pPr>
        <w:pStyle w:val="2"/>
        <w:rPr>
          <w:rFonts w:hint="default" w:ascii="Times New Roman" w:hAnsi="Times New Roman" w:eastAsia="仿宋" w:cs="Times New Roman"/>
          <w:color w:val="auto"/>
          <w:sz w:val="24"/>
          <w:szCs w:val="24"/>
        </w:rPr>
      </w:pPr>
    </w:p>
    <w:p>
      <w:pPr>
        <w:pStyle w:val="3"/>
        <w:rPr>
          <w:rFonts w:hint="default" w:ascii="Times New Roman" w:hAnsi="Times New Roman" w:cs="Times New Roman"/>
        </w:rPr>
      </w:pPr>
    </w:p>
    <w:p>
      <w:pPr>
        <w:rPr>
          <w:rFonts w:hint="default" w:ascii="Times New Roman" w:hAnsi="Times New Roman" w:eastAsia="仿宋" w:cs="Times New Roman"/>
          <w:color w:val="auto"/>
          <w:sz w:val="24"/>
          <w:szCs w:val="24"/>
        </w:rPr>
      </w:pPr>
    </w:p>
    <w:p>
      <w:pPr>
        <w:jc w:val="center"/>
        <w:rPr>
          <w:rFonts w:hint="default" w:ascii="Times New Roman" w:hAnsi="Times New Roman" w:eastAsia="仿宋" w:cs="Times New Roman"/>
          <w:b/>
          <w:bCs/>
          <w:color w:val="auto"/>
          <w:sz w:val="32"/>
          <w:szCs w:val="32"/>
          <w:lang w:eastAsia="zh-CN"/>
        </w:rPr>
      </w:pPr>
      <w:r>
        <w:rPr>
          <w:rFonts w:hint="default" w:ascii="Times New Roman" w:hAnsi="Times New Roman" w:eastAsia="仿宋" w:cs="Times New Roman"/>
          <w:b/>
          <w:bCs/>
          <w:color w:val="auto"/>
          <w:sz w:val="32"/>
          <w:szCs w:val="32"/>
          <w:lang w:val="en-US" w:eastAsia="zh-CN"/>
        </w:rPr>
        <w:t>委托方：</w:t>
      </w:r>
      <w:r>
        <w:rPr>
          <w:rFonts w:hint="eastAsia" w:ascii="Times New Roman" w:hAnsi="Times New Roman" w:eastAsia="仿宋" w:cs="Times New Roman"/>
          <w:b/>
          <w:bCs/>
          <w:color w:val="auto"/>
          <w:sz w:val="32"/>
          <w:szCs w:val="32"/>
          <w:lang w:eastAsia="zh-CN"/>
        </w:rPr>
        <w:t>内蒙古</w:t>
      </w:r>
      <w:r>
        <w:rPr>
          <w:rFonts w:hint="eastAsia" w:ascii="Times New Roman" w:hAnsi="Times New Roman" w:eastAsia="仿宋" w:cs="Times New Roman"/>
          <w:b/>
          <w:bCs/>
          <w:color w:val="auto"/>
          <w:sz w:val="32"/>
          <w:szCs w:val="32"/>
          <w:lang w:val="en-US" w:eastAsia="zh-CN"/>
        </w:rPr>
        <w:t>圣钒科技新能源</w:t>
      </w:r>
      <w:r>
        <w:rPr>
          <w:rFonts w:hint="eastAsia" w:ascii="Times New Roman" w:hAnsi="Times New Roman" w:eastAsia="仿宋" w:cs="Times New Roman"/>
          <w:b/>
          <w:bCs/>
          <w:color w:val="auto"/>
          <w:sz w:val="32"/>
          <w:szCs w:val="32"/>
          <w:lang w:eastAsia="zh-CN"/>
        </w:rPr>
        <w:t>有限公司</w:t>
      </w:r>
    </w:p>
    <w:p>
      <w:pPr>
        <w:pStyle w:val="2"/>
        <w:jc w:val="center"/>
        <w:rPr>
          <w:rFonts w:hint="default" w:ascii="Times New Roman" w:hAnsi="Times New Roman" w:cs="Times New Roman"/>
          <w:b/>
          <w:bCs/>
          <w:sz w:val="32"/>
          <w:szCs w:val="32"/>
          <w:lang w:val="en-US" w:eastAsia="zh-CN"/>
        </w:rPr>
      </w:pPr>
      <w:r>
        <w:rPr>
          <w:rFonts w:hint="default" w:ascii="Times New Roman" w:hAnsi="Times New Roman" w:eastAsia="仿宋" w:cs="Times New Roman"/>
          <w:b/>
          <w:bCs/>
          <w:color w:val="auto"/>
          <w:sz w:val="32"/>
          <w:szCs w:val="32"/>
          <w:lang w:val="en-US" w:eastAsia="zh-CN"/>
        </w:rPr>
        <w:t>受托方：天宸智业能源科技（云南）</w:t>
      </w:r>
      <w:r>
        <w:rPr>
          <w:rFonts w:hint="default" w:ascii="Times New Roman" w:hAnsi="Times New Roman" w:eastAsia="仿宋" w:cs="Times New Roman"/>
          <w:b/>
          <w:bCs/>
          <w:color w:val="auto"/>
          <w:sz w:val="32"/>
          <w:szCs w:val="32"/>
          <w:lang w:eastAsia="zh-CN"/>
        </w:rPr>
        <w:t>有限公司</w:t>
      </w:r>
    </w:p>
    <w:p>
      <w:pPr>
        <w:spacing w:line="360" w:lineRule="auto"/>
        <w:jc w:val="center"/>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202</w:t>
      </w:r>
      <w:r>
        <w:rPr>
          <w:rFonts w:hint="default" w:ascii="Times New Roman" w:hAnsi="Times New Roman" w:eastAsia="仿宋" w:cs="Times New Roman"/>
          <w:b/>
          <w:bCs/>
          <w:color w:val="auto"/>
          <w:sz w:val="32"/>
          <w:szCs w:val="32"/>
          <w:lang w:val="en-US" w:eastAsia="zh-CN"/>
        </w:rPr>
        <w:t>3</w:t>
      </w:r>
      <w:r>
        <w:rPr>
          <w:rFonts w:hint="default" w:ascii="Times New Roman" w:hAnsi="Times New Roman" w:eastAsia="仿宋" w:cs="Times New Roman"/>
          <w:b/>
          <w:bCs/>
          <w:color w:val="auto"/>
          <w:sz w:val="32"/>
          <w:szCs w:val="32"/>
        </w:rPr>
        <w:t>年</w:t>
      </w:r>
      <w:r>
        <w:rPr>
          <w:rFonts w:hint="eastAsia" w:ascii="Times New Roman" w:hAnsi="Times New Roman" w:eastAsia="仿宋" w:cs="Times New Roman"/>
          <w:b/>
          <w:bCs/>
          <w:color w:val="auto"/>
          <w:sz w:val="32"/>
          <w:szCs w:val="32"/>
          <w:lang w:val="en-US" w:eastAsia="zh-CN"/>
        </w:rPr>
        <w:t>2</w:t>
      </w:r>
      <w:r>
        <w:rPr>
          <w:rFonts w:hint="default" w:ascii="Times New Roman" w:hAnsi="Times New Roman" w:eastAsia="仿宋" w:cs="Times New Roman"/>
          <w:b/>
          <w:bCs/>
          <w:color w:val="auto"/>
          <w:sz w:val="32"/>
          <w:szCs w:val="32"/>
        </w:rPr>
        <w:t>月</w:t>
      </w:r>
    </w:p>
    <w:p>
      <w:pPr>
        <w:rPr>
          <w:rFonts w:hint="default" w:ascii="Times New Roman" w:hAnsi="Times New Roman" w:eastAsia="仿宋" w:cs="Times New Roman"/>
          <w:color w:val="auto"/>
          <w:sz w:val="24"/>
          <w:szCs w:val="24"/>
        </w:rPr>
      </w:pPr>
    </w:p>
    <w:p>
      <w:pPr>
        <w:rPr>
          <w:rFonts w:hint="default" w:ascii="Times New Roman" w:hAnsi="Times New Roman" w:eastAsia="仿宋" w:cs="Times New Roman"/>
          <w:color w:val="auto"/>
          <w:sz w:val="24"/>
          <w:szCs w:val="24"/>
        </w:rPr>
        <w:sectPr>
          <w:headerReference r:id="rId3" w:type="default"/>
          <w:footerReference r:id="rId4" w:type="default"/>
          <w:pgSz w:w="11906" w:h="16838"/>
          <w:pgMar w:top="1440" w:right="1800" w:bottom="1440" w:left="1800" w:header="851" w:footer="992" w:gutter="0"/>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前 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近年来，温室效应、气候变化已成为全球关注的焦点，“碳足迹”这个新的术语越来越广泛地为全世界所使用。碳足迹通常分为项目、组织、产品这三个层面。其中，产品碳足迹（Carbon Footprint of</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Products，CFP）是指衡量某个产品或服务在其生命周期各阶段的温室气体排放量总和，即从原材料开采、产品生产（或服务提供）、分销、使用到最终处置/再生利用等多个阶段的各种温室气体排放的累加。温室气体主要包括二氧化碳、甲烷、氧化亚氮、氢氟碳化物、全氟化碳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目前广泛使用的碳足迹评估标准有三种：①《PAS2050：2011商品和服务在生命周期内的温室气体排放评价规范》，此标准是由英国标准协会（BSI）与碳信托公司（Carbon Trust）、英国食品和乡村事务部（Defra）联合发布，是国际上最早的、具有具体计算方法的标准，也是目前使用较多的产品碳足迹评价标准；②《温室气体核算体：产品寿命周期核算与报告标准》，此标准是由世界资源研究所</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World Resources Institute</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和世界可持续发展工商理事会</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World</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Business Council for Sustainable Development</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发布的产品和供应链标准；③《ISO/TS 14067：2013 温室气体——产品碳足迹——量化和信息交流的要求与指南》，此标准以PAS 2050为种子文件，由国际标准化组织（ISO）编制发布。产品碳足迹核算标准的出现目的是建立一个一致的、</w:t>
      </w:r>
      <w:r>
        <w:rPr>
          <w:rFonts w:hint="eastAsia" w:ascii="Times New Roman" w:hAnsi="Times New Roman" w:eastAsia="仿宋" w:cs="Times New Roman"/>
          <w:sz w:val="28"/>
          <w:szCs w:val="28"/>
          <w:lang w:eastAsia="zh-CN"/>
        </w:rPr>
        <w:t>国际</w:t>
      </w:r>
      <w:r>
        <w:rPr>
          <w:rFonts w:hint="default" w:ascii="Times New Roman" w:hAnsi="Times New Roman" w:eastAsia="仿宋" w:cs="Times New Roman"/>
          <w:sz w:val="28"/>
          <w:szCs w:val="28"/>
        </w:rPr>
        <w:t>认可的评估产品碳足迹的方法。</w:t>
      </w:r>
    </w:p>
    <w:p>
      <w:pPr>
        <w:pStyle w:val="22"/>
        <w:widowControl/>
        <w:numPr>
          <w:ilvl w:val="0"/>
          <w:numId w:val="0"/>
        </w:numPr>
        <w:shd w:val="clear" w:color="auto" w:fill="FFFFFF"/>
        <w:spacing w:line="480" w:lineRule="auto"/>
        <w:ind w:leftChars="0"/>
        <w:jc w:val="left"/>
        <w:rPr>
          <w:rFonts w:hint="default" w:ascii="Times New Roman" w:hAnsi="Times New Roman" w:eastAsia="黑体" w:cs="Times New Roman"/>
          <w:b/>
          <w:bCs/>
          <w:color w:val="auto"/>
          <w:kern w:val="0"/>
          <w:sz w:val="28"/>
          <w:szCs w:val="28"/>
        </w:rPr>
      </w:pPr>
    </w:p>
    <w:p>
      <w:pPr>
        <w:pStyle w:val="22"/>
        <w:widowControl/>
        <w:numPr>
          <w:ilvl w:val="0"/>
          <w:numId w:val="1"/>
        </w:numPr>
        <w:shd w:val="clear" w:color="auto" w:fill="FFFFFF"/>
        <w:spacing w:line="480" w:lineRule="auto"/>
        <w:ind w:firstLineChars="0"/>
        <w:jc w:val="left"/>
        <w:rPr>
          <w:rFonts w:hint="default" w:ascii="Times New Roman" w:hAnsi="Times New Roman" w:eastAsia="黑体" w:cs="Times New Roman"/>
          <w:b/>
          <w:bCs/>
          <w:color w:val="auto"/>
          <w:kern w:val="0"/>
          <w:sz w:val="28"/>
          <w:szCs w:val="28"/>
        </w:rPr>
      </w:pPr>
      <w:r>
        <w:rPr>
          <w:rFonts w:hint="default" w:ascii="Times New Roman" w:hAnsi="Times New Roman" w:eastAsia="黑体" w:cs="Times New Roman"/>
          <w:b/>
          <w:bCs/>
          <w:color w:val="auto"/>
          <w:kern w:val="0"/>
          <w:sz w:val="28"/>
          <w:szCs w:val="28"/>
        </w:rPr>
        <w:t>采用标准</w:t>
      </w:r>
    </w:p>
    <w:p>
      <w:pPr>
        <w:pStyle w:val="22"/>
        <w:widowControl/>
        <w:numPr>
          <w:ilvl w:val="0"/>
          <w:numId w:val="2"/>
        </w:numPr>
        <w:shd w:val="clear" w:color="auto" w:fill="FFFFFF"/>
        <w:spacing w:line="360" w:lineRule="auto"/>
        <w:ind w:firstLineChars="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GB/T 24040-2008/ISO 14040:2006 环境管理 生命周期评价 原则与框架；</w:t>
      </w:r>
    </w:p>
    <w:p>
      <w:pPr>
        <w:pStyle w:val="22"/>
        <w:widowControl/>
        <w:numPr>
          <w:ilvl w:val="0"/>
          <w:numId w:val="2"/>
        </w:numPr>
        <w:shd w:val="clear" w:color="auto" w:fill="FFFFFF"/>
        <w:spacing w:line="360" w:lineRule="auto"/>
        <w:ind w:firstLineChars="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GB/T 24044-2008/ISO 14044:2006 环境管理  生命周期评价 要求与指南；</w:t>
      </w:r>
    </w:p>
    <w:p>
      <w:pPr>
        <w:pStyle w:val="22"/>
        <w:widowControl/>
        <w:numPr>
          <w:ilvl w:val="0"/>
          <w:numId w:val="2"/>
        </w:numPr>
        <w:shd w:val="clear" w:color="auto" w:fill="FFFFFF"/>
        <w:spacing w:line="360" w:lineRule="auto"/>
        <w:ind w:firstLineChars="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GB/T 32150-2015 工业企业温室气体排放核算和报告通则；</w:t>
      </w:r>
    </w:p>
    <w:p>
      <w:pPr>
        <w:pStyle w:val="22"/>
        <w:widowControl/>
        <w:numPr>
          <w:ilvl w:val="0"/>
          <w:numId w:val="2"/>
        </w:numPr>
        <w:shd w:val="clear" w:color="auto" w:fill="FFFFFF"/>
        <w:spacing w:line="360" w:lineRule="auto"/>
        <w:ind w:firstLineChars="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ISO/CD 14067-2013 温室气体 产品的碳排放 量化和信息交流的要求与指南；</w:t>
      </w:r>
    </w:p>
    <w:p>
      <w:pPr>
        <w:pStyle w:val="22"/>
        <w:widowControl/>
        <w:numPr>
          <w:ilvl w:val="0"/>
          <w:numId w:val="2"/>
        </w:numPr>
        <w:shd w:val="clear" w:color="auto" w:fill="FFFFFF"/>
        <w:spacing w:line="360" w:lineRule="auto"/>
        <w:ind w:firstLineChars="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PAS 2050-2011 商品和服务在生命周期内的温室气体排放评价规范。</w:t>
      </w:r>
    </w:p>
    <w:p>
      <w:pPr>
        <w:pStyle w:val="22"/>
        <w:widowControl/>
        <w:numPr>
          <w:ilvl w:val="0"/>
          <w:numId w:val="1"/>
        </w:numPr>
        <w:shd w:val="clear" w:color="auto" w:fill="FFFFFF"/>
        <w:spacing w:line="480" w:lineRule="auto"/>
        <w:ind w:firstLineChars="0"/>
        <w:jc w:val="left"/>
        <w:rPr>
          <w:rFonts w:hint="default" w:ascii="Times New Roman" w:hAnsi="Times New Roman" w:eastAsia="黑体" w:cs="Times New Roman"/>
          <w:b/>
          <w:bCs/>
          <w:color w:val="auto"/>
          <w:kern w:val="0"/>
          <w:sz w:val="28"/>
          <w:szCs w:val="28"/>
        </w:rPr>
      </w:pPr>
      <w:r>
        <w:rPr>
          <w:rFonts w:hint="default" w:ascii="Times New Roman" w:hAnsi="Times New Roman" w:eastAsia="黑体" w:cs="Times New Roman"/>
          <w:b/>
          <w:bCs/>
          <w:color w:val="auto"/>
          <w:kern w:val="0"/>
          <w:sz w:val="28"/>
          <w:szCs w:val="28"/>
        </w:rPr>
        <w:t>盘查边界确定</w:t>
      </w:r>
    </w:p>
    <w:p>
      <w:pPr>
        <w:widowControl/>
        <w:shd w:val="clear" w:color="auto" w:fill="FFFFFF"/>
        <w:spacing w:line="360" w:lineRule="auto"/>
        <w:ind w:firstLine="560" w:firstLineChars="200"/>
        <w:jc w:val="left"/>
        <w:rPr>
          <w:rFonts w:hint="default" w:ascii="Times New Roman" w:hAnsi="Times New Roman" w:eastAsia="仿宋" w:cs="Times New Roman"/>
          <w:color w:val="auto"/>
          <w:kern w:val="0"/>
          <w:sz w:val="28"/>
          <w:szCs w:val="28"/>
          <w:lang w:eastAsia="zh-CN"/>
        </w:rPr>
      </w:pPr>
      <w:r>
        <w:rPr>
          <w:rFonts w:hint="default" w:ascii="Times New Roman" w:hAnsi="Times New Roman" w:eastAsia="仿宋" w:cs="Times New Roman"/>
          <w:color w:val="auto"/>
          <w:kern w:val="0"/>
          <w:sz w:val="28"/>
          <w:szCs w:val="28"/>
        </w:rPr>
        <w:t>盘查主体：</w:t>
      </w:r>
      <w:r>
        <w:rPr>
          <w:rFonts w:hint="default" w:ascii="Times New Roman" w:hAnsi="Times New Roman" w:eastAsia="仿宋" w:cs="Times New Roman"/>
          <w:b/>
          <w:bCs/>
          <w:color w:val="auto"/>
          <w:kern w:val="0"/>
          <w:sz w:val="28"/>
          <w:szCs w:val="28"/>
          <w:lang w:eastAsia="zh-CN"/>
        </w:rPr>
        <w:t xml:space="preserve"> </w:t>
      </w:r>
      <w:r>
        <w:rPr>
          <w:rFonts w:hint="eastAsia" w:ascii="Times New Roman" w:hAnsi="Times New Roman" w:eastAsia="仿宋" w:cs="Times New Roman"/>
          <w:b/>
          <w:bCs/>
          <w:color w:val="auto"/>
          <w:kern w:val="0"/>
          <w:sz w:val="28"/>
          <w:szCs w:val="28"/>
          <w:lang w:eastAsia="zh-CN"/>
        </w:rPr>
        <w:t>内蒙古</w:t>
      </w:r>
      <w:r>
        <w:rPr>
          <w:rFonts w:hint="eastAsia" w:ascii="Times New Roman" w:hAnsi="Times New Roman" w:eastAsia="仿宋" w:cs="Times New Roman"/>
          <w:b/>
          <w:bCs/>
          <w:color w:val="auto"/>
          <w:kern w:val="0"/>
          <w:sz w:val="28"/>
          <w:szCs w:val="28"/>
          <w:lang w:val="en-US" w:eastAsia="zh-CN"/>
        </w:rPr>
        <w:t>圣钒科技新能源科技</w:t>
      </w:r>
      <w:r>
        <w:rPr>
          <w:rFonts w:hint="eastAsia" w:ascii="Times New Roman" w:hAnsi="Times New Roman" w:eastAsia="仿宋" w:cs="Times New Roman"/>
          <w:b/>
          <w:bCs/>
          <w:color w:val="auto"/>
          <w:kern w:val="0"/>
          <w:sz w:val="28"/>
          <w:szCs w:val="28"/>
          <w:lang w:eastAsia="zh-CN"/>
        </w:rPr>
        <w:t>有限公司</w:t>
      </w:r>
    </w:p>
    <w:p>
      <w:pPr>
        <w:widowControl/>
        <w:shd w:val="clear" w:color="auto" w:fill="FFFFFF"/>
        <w:spacing w:line="360" w:lineRule="auto"/>
        <w:ind w:firstLine="560" w:firstLineChars="200"/>
        <w:jc w:val="left"/>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盘查范围：202</w:t>
      </w:r>
      <w:r>
        <w:rPr>
          <w:rFonts w:hint="eastAsia" w:ascii="Times New Roman" w:hAnsi="Times New Roman" w:eastAsia="仿宋" w:cs="Times New Roman"/>
          <w:color w:val="auto"/>
          <w:kern w:val="0"/>
          <w:sz w:val="28"/>
          <w:szCs w:val="28"/>
          <w:lang w:val="en-US" w:eastAsia="zh-CN"/>
        </w:rPr>
        <w:t>2</w:t>
      </w:r>
      <w:r>
        <w:rPr>
          <w:rFonts w:hint="default" w:ascii="Times New Roman" w:hAnsi="Times New Roman" w:eastAsia="仿宋" w:cs="Times New Roman"/>
          <w:color w:val="auto"/>
          <w:kern w:val="0"/>
          <w:sz w:val="28"/>
          <w:szCs w:val="28"/>
        </w:rPr>
        <w:t>年全年</w:t>
      </w:r>
      <w:r>
        <w:rPr>
          <w:rFonts w:hint="eastAsia" w:ascii="Times New Roman" w:hAnsi="Times New Roman" w:eastAsia="仿宋" w:cs="Times New Roman"/>
          <w:color w:val="auto"/>
          <w:kern w:val="0"/>
          <w:sz w:val="28"/>
          <w:szCs w:val="28"/>
          <w:lang w:val="en-US" w:eastAsia="zh-CN"/>
        </w:rPr>
        <w:t>磷酸铁锂</w:t>
      </w:r>
      <w:r>
        <w:rPr>
          <w:rFonts w:hint="default" w:ascii="Times New Roman" w:hAnsi="Times New Roman" w:eastAsia="仿宋_GB2312" w:cs="Times New Roman"/>
          <w:color w:val="auto"/>
          <w:sz w:val="28"/>
          <w:szCs w:val="28"/>
          <w:lang w:eastAsia="zh-CN"/>
        </w:rPr>
        <w:t>等</w:t>
      </w:r>
      <w:r>
        <w:rPr>
          <w:rFonts w:hint="default" w:ascii="Times New Roman" w:hAnsi="Times New Roman" w:eastAsia="仿宋" w:cs="Times New Roman"/>
          <w:color w:val="auto"/>
          <w:kern w:val="0"/>
          <w:sz w:val="28"/>
          <w:szCs w:val="28"/>
        </w:rPr>
        <w:t>产品生产活动，包括主要生产系统和辅助生产系统等。</w:t>
      </w:r>
    </w:p>
    <w:p>
      <w:pPr>
        <w:widowControl/>
        <w:shd w:val="clear" w:color="auto" w:fill="FFFFFF"/>
        <w:spacing w:line="360" w:lineRule="auto"/>
        <w:ind w:firstLine="560" w:firstLineChars="200"/>
        <w:jc w:val="left"/>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盘查系统边界：产品的碳足迹=原材料+能源消耗+生产过程+包装储存</w:t>
      </w:r>
      <w:r>
        <w:rPr>
          <w:rFonts w:hint="eastAsia" w:ascii="Times New Roman" w:hAnsi="Times New Roman" w:eastAsia="仿宋" w:cs="Times New Roman"/>
          <w:color w:val="auto"/>
          <w:kern w:val="0"/>
          <w:sz w:val="28"/>
          <w:szCs w:val="28"/>
          <w:lang w:eastAsia="zh-CN"/>
        </w:rPr>
        <w:t>－</w:t>
      </w:r>
      <w:r>
        <w:rPr>
          <w:rFonts w:hint="default" w:ascii="Times New Roman" w:hAnsi="Times New Roman" w:eastAsia="仿宋" w:cs="Times New Roman"/>
          <w:color w:val="auto"/>
          <w:kern w:val="0"/>
          <w:sz w:val="28"/>
          <w:szCs w:val="28"/>
        </w:rPr>
        <w:t>输出热力。</w:t>
      </w:r>
    </w:p>
    <w:p>
      <w:pPr>
        <w:pStyle w:val="22"/>
        <w:widowControl/>
        <w:numPr>
          <w:ilvl w:val="0"/>
          <w:numId w:val="1"/>
        </w:numPr>
        <w:shd w:val="clear" w:color="auto" w:fill="FFFFFF"/>
        <w:spacing w:line="480" w:lineRule="auto"/>
        <w:ind w:firstLineChars="0"/>
        <w:jc w:val="left"/>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碳足迹识别</w:t>
      </w:r>
    </w:p>
    <w:p>
      <w:pPr>
        <w:pStyle w:val="5"/>
        <w:keepNex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 xml:space="preserve">表格 </w:t>
      </w:r>
      <w:r>
        <w:rPr>
          <w:rFonts w:hint="default" w:ascii="Times New Roman" w:hAnsi="Times New Roman" w:eastAsia="仿宋" w:cs="Times New Roman"/>
          <w:b/>
          <w:bCs/>
          <w:color w:val="auto"/>
          <w:sz w:val="24"/>
          <w:szCs w:val="24"/>
        </w:rPr>
        <w:fldChar w:fldCharType="begin"/>
      </w:r>
      <w:r>
        <w:rPr>
          <w:rFonts w:hint="default" w:ascii="Times New Roman" w:hAnsi="Times New Roman" w:eastAsia="仿宋" w:cs="Times New Roman"/>
          <w:b/>
          <w:bCs/>
          <w:color w:val="auto"/>
          <w:sz w:val="24"/>
          <w:szCs w:val="24"/>
        </w:rPr>
        <w:instrText xml:space="preserve"> SEQ 表格 \* ARABIC </w:instrText>
      </w:r>
      <w:r>
        <w:rPr>
          <w:rFonts w:hint="default" w:ascii="Times New Roman" w:hAnsi="Times New Roman" w:eastAsia="仿宋" w:cs="Times New Roman"/>
          <w:b/>
          <w:bCs/>
          <w:color w:val="auto"/>
          <w:sz w:val="24"/>
          <w:szCs w:val="24"/>
        </w:rPr>
        <w:fldChar w:fldCharType="separate"/>
      </w:r>
      <w:r>
        <w:rPr>
          <w:rFonts w:hint="default" w:ascii="Times New Roman" w:hAnsi="Times New Roman" w:eastAsia="仿宋" w:cs="Times New Roman"/>
          <w:b/>
          <w:bCs/>
          <w:color w:val="auto"/>
          <w:sz w:val="24"/>
          <w:szCs w:val="24"/>
        </w:rPr>
        <w:t>1</w:t>
      </w:r>
      <w:r>
        <w:rPr>
          <w:rFonts w:hint="default" w:ascii="Times New Roman" w:hAnsi="Times New Roman" w:eastAsia="仿宋" w:cs="Times New Roman"/>
          <w:b/>
          <w:bCs/>
          <w:color w:val="auto"/>
          <w:sz w:val="24"/>
          <w:szCs w:val="24"/>
        </w:rPr>
        <w:fldChar w:fldCharType="end"/>
      </w:r>
      <w:r>
        <w:rPr>
          <w:rFonts w:hint="default" w:ascii="Times New Roman" w:hAnsi="Times New Roman" w:eastAsia="仿宋" w:cs="Times New Roman"/>
          <w:b/>
          <w:bCs/>
          <w:color w:val="auto"/>
          <w:sz w:val="24"/>
          <w:szCs w:val="24"/>
        </w:rPr>
        <w:t>碳足迹识别表</w:t>
      </w:r>
    </w:p>
    <w:tbl>
      <w:tblPr>
        <w:tblStyle w:val="10"/>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651"/>
        <w:gridCol w:w="404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967"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序号</w:t>
            </w:r>
          </w:p>
        </w:tc>
        <w:tc>
          <w:tcPr>
            <w:tcW w:w="2368"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主体</w:t>
            </w:r>
          </w:p>
        </w:tc>
        <w:tc>
          <w:tcPr>
            <w:tcW w:w="1664"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967"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1</w:t>
            </w:r>
          </w:p>
        </w:tc>
        <w:tc>
          <w:tcPr>
            <w:tcW w:w="2368"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生产、生活用水</w:t>
            </w:r>
          </w:p>
        </w:tc>
        <w:tc>
          <w:tcPr>
            <w:tcW w:w="1664"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消耗自来水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967"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2</w:t>
            </w:r>
          </w:p>
        </w:tc>
        <w:tc>
          <w:tcPr>
            <w:tcW w:w="2368"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生产、生活用电</w:t>
            </w:r>
          </w:p>
        </w:tc>
        <w:tc>
          <w:tcPr>
            <w:tcW w:w="1664"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外购电力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967"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3</w:t>
            </w:r>
          </w:p>
        </w:tc>
        <w:tc>
          <w:tcPr>
            <w:tcW w:w="2368"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生产、生活用蒸汽</w:t>
            </w:r>
          </w:p>
        </w:tc>
        <w:tc>
          <w:tcPr>
            <w:tcW w:w="1664"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外购热力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967"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4</w:t>
            </w:r>
          </w:p>
        </w:tc>
        <w:tc>
          <w:tcPr>
            <w:tcW w:w="2368"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生产、生活用</w:t>
            </w:r>
            <w:r>
              <w:rPr>
                <w:rFonts w:hint="eastAsia" w:ascii="Times New Roman" w:hAnsi="Times New Roman" w:eastAsia="仿宋" w:cs="Times New Roman"/>
                <w:color w:val="auto"/>
                <w:kern w:val="0"/>
                <w:sz w:val="24"/>
                <w:szCs w:val="24"/>
                <w:lang w:val="en-US" w:eastAsia="zh-CN"/>
              </w:rPr>
              <w:t>天然气</w:t>
            </w:r>
          </w:p>
        </w:tc>
        <w:tc>
          <w:tcPr>
            <w:tcW w:w="1664" w:type="pct"/>
            <w:tcMar>
              <w:top w:w="0" w:type="dxa"/>
              <w:left w:w="105" w:type="dxa"/>
              <w:bottom w:w="0" w:type="dxa"/>
              <w:right w:w="105" w:type="dxa"/>
            </w:tcMar>
          </w:tcPr>
          <w:p>
            <w:pPr>
              <w:widowControl/>
              <w:jc w:val="center"/>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外购</w:t>
            </w:r>
            <w:r>
              <w:rPr>
                <w:rFonts w:hint="eastAsia" w:ascii="Times New Roman" w:hAnsi="Times New Roman" w:eastAsia="仿宋" w:cs="Times New Roman"/>
                <w:color w:val="auto"/>
                <w:kern w:val="0"/>
                <w:sz w:val="24"/>
                <w:szCs w:val="24"/>
                <w:lang w:val="en-US" w:eastAsia="zh-CN"/>
              </w:rPr>
              <w:t>气体</w:t>
            </w:r>
            <w:r>
              <w:rPr>
                <w:rFonts w:hint="default" w:ascii="Times New Roman" w:hAnsi="Times New Roman" w:eastAsia="仿宋" w:cs="Times New Roman"/>
                <w:color w:val="auto"/>
                <w:kern w:val="0"/>
                <w:sz w:val="24"/>
                <w:szCs w:val="24"/>
                <w:lang w:val="en-US" w:eastAsia="zh-CN"/>
              </w:rPr>
              <w:t>燃料</w:t>
            </w:r>
          </w:p>
        </w:tc>
      </w:tr>
    </w:tbl>
    <w:p>
      <w:pPr>
        <w:pStyle w:val="22"/>
        <w:widowControl/>
        <w:numPr>
          <w:ilvl w:val="0"/>
          <w:numId w:val="1"/>
        </w:numPr>
        <w:shd w:val="clear" w:color="auto" w:fill="FFFFFF"/>
        <w:spacing w:line="480" w:lineRule="auto"/>
        <w:ind w:firstLineChars="0"/>
        <w:jc w:val="left"/>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过程图</w:t>
      </w:r>
    </w:p>
    <w:p>
      <w:pPr>
        <w:keepNext/>
        <w:widowControl/>
        <w:shd w:val="clear" w:color="auto" w:fill="FFFFFF"/>
        <w:jc w:val="center"/>
        <w:rPr>
          <w:rFonts w:hint="default" w:ascii="Times New Roman" w:hAnsi="Times New Roman" w:cs="Times New Roman"/>
          <w:color w:val="auto"/>
        </w:rPr>
      </w:pPr>
      <w:r>
        <w:drawing>
          <wp:inline distT="0" distB="0" distL="114300" distR="114300">
            <wp:extent cx="5273675" cy="2871470"/>
            <wp:effectExtent l="0" t="0" r="14605"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273675" cy="2871470"/>
                    </a:xfrm>
                    <a:prstGeom prst="rect">
                      <a:avLst/>
                    </a:prstGeom>
                    <a:noFill/>
                    <a:ln>
                      <a:noFill/>
                    </a:ln>
                  </pic:spPr>
                </pic:pic>
              </a:graphicData>
            </a:graphic>
          </wp:inline>
        </w:drawing>
      </w:r>
    </w:p>
    <w:p>
      <w:pPr>
        <w:pStyle w:val="5"/>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sz w:val="21"/>
          <w:szCs w:val="21"/>
        </w:rPr>
        <w:t xml:space="preserve">图 </w:t>
      </w:r>
      <w:r>
        <w:rPr>
          <w:rFonts w:hint="default" w:ascii="Times New Roman" w:hAnsi="Times New Roman" w:eastAsia="仿宋" w:cs="Times New Roman"/>
          <w:b/>
          <w:bCs/>
          <w:color w:val="auto"/>
          <w:sz w:val="21"/>
          <w:szCs w:val="21"/>
        </w:rPr>
        <w:fldChar w:fldCharType="begin"/>
      </w:r>
      <w:r>
        <w:rPr>
          <w:rFonts w:hint="default" w:ascii="Times New Roman" w:hAnsi="Times New Roman" w:eastAsia="仿宋" w:cs="Times New Roman"/>
          <w:b/>
          <w:bCs/>
          <w:color w:val="auto"/>
          <w:sz w:val="21"/>
          <w:szCs w:val="21"/>
        </w:rPr>
        <w:instrText xml:space="preserve"> SEQ 图 \* ARABIC </w:instrText>
      </w:r>
      <w:r>
        <w:rPr>
          <w:rFonts w:hint="default" w:ascii="Times New Roman" w:hAnsi="Times New Roman" w:eastAsia="仿宋" w:cs="Times New Roman"/>
          <w:b/>
          <w:bCs/>
          <w:color w:val="auto"/>
          <w:sz w:val="21"/>
          <w:szCs w:val="21"/>
        </w:rPr>
        <w:fldChar w:fldCharType="separate"/>
      </w:r>
      <w:r>
        <w:rPr>
          <w:rFonts w:hint="default" w:ascii="Times New Roman" w:hAnsi="Times New Roman" w:eastAsia="仿宋" w:cs="Times New Roman"/>
          <w:b/>
          <w:bCs/>
          <w:color w:val="auto"/>
          <w:sz w:val="21"/>
          <w:szCs w:val="21"/>
        </w:rPr>
        <w:t>1</w:t>
      </w:r>
      <w:r>
        <w:rPr>
          <w:rFonts w:hint="default" w:ascii="Times New Roman" w:hAnsi="Times New Roman" w:eastAsia="仿宋" w:cs="Times New Roman"/>
          <w:b/>
          <w:bCs/>
          <w:color w:val="auto"/>
          <w:sz w:val="21"/>
          <w:szCs w:val="21"/>
        </w:rPr>
        <w:fldChar w:fldCharType="end"/>
      </w:r>
      <w:r>
        <w:rPr>
          <w:rFonts w:hint="default" w:ascii="Times New Roman" w:hAnsi="Times New Roman" w:eastAsia="仿宋" w:cs="Times New Roman"/>
          <w:b/>
          <w:bCs/>
          <w:color w:val="auto"/>
          <w:sz w:val="21"/>
          <w:szCs w:val="21"/>
        </w:rPr>
        <w:t>过程图</w:t>
      </w:r>
    </w:p>
    <w:p>
      <w:pPr>
        <w:pStyle w:val="22"/>
        <w:widowControl/>
        <w:numPr>
          <w:ilvl w:val="0"/>
          <w:numId w:val="1"/>
        </w:numPr>
        <w:shd w:val="clear" w:color="auto" w:fill="FFFFFF"/>
        <w:spacing w:line="480" w:lineRule="auto"/>
        <w:ind w:firstLineChars="0"/>
        <w:jc w:val="left"/>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盘查方法及数据来源</w:t>
      </w:r>
    </w:p>
    <w:p>
      <w:pPr>
        <w:pStyle w:val="22"/>
        <w:widowControl/>
        <w:numPr>
          <w:ilvl w:val="1"/>
          <w:numId w:val="3"/>
        </w:numPr>
        <w:shd w:val="clear" w:color="auto" w:fill="FFFFFF"/>
        <w:spacing w:line="360" w:lineRule="auto"/>
        <w:ind w:left="0" w:firstLine="482"/>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盘查方法确定</w:t>
      </w:r>
    </w:p>
    <w:p>
      <w:pPr>
        <w:widowControl/>
        <w:shd w:val="clear" w:color="auto" w:fill="FFFFFF"/>
        <w:spacing w:line="360" w:lineRule="auto"/>
        <w:ind w:firstLine="560" w:firstLineChars="20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根据工厂实际情况，选择排放因子法作为盘查计算方法。</w:t>
      </w:r>
    </w:p>
    <w:p>
      <w:pPr>
        <w:widowControl/>
        <w:shd w:val="clear" w:color="auto" w:fill="FFFFFF"/>
        <w:spacing w:line="360" w:lineRule="auto"/>
        <w:ind w:firstLine="560" w:firstLineChars="200"/>
        <w:jc w:val="center"/>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EGHG=AD × EF × GWP</w:t>
      </w:r>
    </w:p>
    <w:p>
      <w:pPr>
        <w:widowControl/>
        <w:shd w:val="clear" w:color="auto" w:fill="FFFFFF"/>
        <w:spacing w:line="360" w:lineRule="auto"/>
        <w:ind w:firstLine="560" w:firstLineChars="20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式中：</w:t>
      </w:r>
    </w:p>
    <w:p>
      <w:pPr>
        <w:widowControl/>
        <w:shd w:val="clear" w:color="auto" w:fill="FFFFFF"/>
        <w:spacing w:line="360" w:lineRule="auto"/>
        <w:ind w:firstLine="560" w:firstLineChars="20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EGHG —— 温室气体排放量，单位为吨二氧化碳当量（tCO</w:t>
      </w:r>
      <w:r>
        <w:rPr>
          <w:rFonts w:hint="default" w:ascii="Times New Roman" w:hAnsi="Times New Roman" w:eastAsia="仿宋" w:cs="Times New Roman"/>
          <w:color w:val="auto"/>
          <w:kern w:val="0"/>
          <w:sz w:val="28"/>
          <w:szCs w:val="28"/>
          <w:vertAlign w:val="subscript"/>
        </w:rPr>
        <w:t>2</w:t>
      </w:r>
      <w:r>
        <w:rPr>
          <w:rFonts w:hint="default" w:ascii="Times New Roman" w:hAnsi="Times New Roman" w:eastAsia="仿宋" w:cs="Times New Roman"/>
          <w:color w:val="auto"/>
          <w:kern w:val="0"/>
          <w:sz w:val="28"/>
          <w:szCs w:val="28"/>
        </w:rPr>
        <w:t>e）；</w:t>
      </w:r>
    </w:p>
    <w:p>
      <w:pPr>
        <w:widowControl/>
        <w:shd w:val="clear" w:color="auto" w:fill="FFFFFF"/>
        <w:spacing w:line="360" w:lineRule="auto"/>
        <w:ind w:firstLine="560" w:firstLineChars="20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AD—— 温室气体活动数据，单位根据具体排放源确定，由工厂统计；</w:t>
      </w:r>
    </w:p>
    <w:p>
      <w:pPr>
        <w:widowControl/>
        <w:shd w:val="clear" w:color="auto" w:fill="FFFFFF"/>
        <w:spacing w:line="360" w:lineRule="auto"/>
        <w:ind w:firstLine="560" w:firstLineChars="20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EF—— 温室气体排放因子，单位与活动数据的单位相匹配；</w:t>
      </w:r>
    </w:p>
    <w:p>
      <w:pPr>
        <w:widowControl/>
        <w:shd w:val="clear" w:color="auto" w:fill="FFFFFF"/>
        <w:spacing w:line="360" w:lineRule="auto"/>
        <w:ind w:firstLine="560" w:firstLineChars="20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GWP —— 全球变暖潜势，数值参考IPCC提供的数据。</w:t>
      </w:r>
    </w:p>
    <w:p>
      <w:pPr>
        <w:pStyle w:val="22"/>
        <w:widowControl/>
        <w:numPr>
          <w:ilvl w:val="1"/>
          <w:numId w:val="3"/>
        </w:numPr>
        <w:shd w:val="clear" w:color="auto" w:fill="FFFFFF"/>
        <w:spacing w:line="360" w:lineRule="auto"/>
        <w:ind w:left="0" w:firstLine="482"/>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数据收集说明</w:t>
      </w:r>
    </w:p>
    <w:p>
      <w:pPr>
        <w:widowControl/>
        <w:shd w:val="clear" w:color="auto" w:fill="FFFFFF"/>
        <w:spacing w:line="360" w:lineRule="auto"/>
        <w:ind w:firstLine="560" w:firstLineChars="20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计算碳足迹需要两类数据：活动数据和排放因子数据。活动水平数据主要包括：外购电力、</w:t>
      </w:r>
      <w:r>
        <w:rPr>
          <w:rFonts w:hint="eastAsia" w:ascii="Times New Roman" w:hAnsi="Times New Roman" w:eastAsia="仿宋" w:cs="Times New Roman"/>
          <w:color w:val="auto"/>
          <w:kern w:val="0"/>
          <w:sz w:val="28"/>
          <w:szCs w:val="28"/>
          <w:lang w:val="en-US" w:eastAsia="zh-CN"/>
        </w:rPr>
        <w:t>外购热力、外购天然气</w:t>
      </w:r>
      <w:r>
        <w:rPr>
          <w:rFonts w:hint="default" w:ascii="Times New Roman" w:hAnsi="Times New Roman" w:eastAsia="仿宋" w:cs="Times New Roman"/>
          <w:color w:val="auto"/>
          <w:kern w:val="0"/>
          <w:sz w:val="28"/>
          <w:szCs w:val="28"/>
        </w:rPr>
        <w:t>；排放因子采用IPCC规定的缺失值、中国区域电网基准线排放因子等。</w:t>
      </w:r>
    </w:p>
    <w:p>
      <w:pPr>
        <w:pStyle w:val="22"/>
        <w:widowControl/>
        <w:numPr>
          <w:ilvl w:val="0"/>
          <w:numId w:val="1"/>
        </w:numPr>
        <w:shd w:val="clear" w:color="auto" w:fill="FFFFFF"/>
        <w:spacing w:line="480" w:lineRule="auto"/>
        <w:ind w:firstLineChars="0"/>
        <w:jc w:val="left"/>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碳足迹计算</w:t>
      </w:r>
    </w:p>
    <w:p>
      <w:pPr>
        <w:pStyle w:val="22"/>
        <w:widowControl/>
        <w:shd w:val="clear" w:color="auto" w:fill="FFFFFF"/>
        <w:spacing w:line="360" w:lineRule="auto"/>
        <w:ind w:left="482" w:firstLine="0" w:firstLineChars="0"/>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1.计算过程</w:t>
      </w:r>
    </w:p>
    <w:p>
      <w:pPr>
        <w:pStyle w:val="22"/>
        <w:widowControl/>
        <w:shd w:val="clear" w:color="auto" w:fill="FFFFFF"/>
        <w:spacing w:line="360" w:lineRule="auto"/>
        <w:ind w:left="900" w:firstLine="0" w:firstLineChars="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本报告中采用的活动水平数据及来源如下表所示：</w:t>
      </w:r>
    </w:p>
    <w:p>
      <w:pPr>
        <w:pStyle w:val="5"/>
        <w:keepNex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表格</w:t>
      </w:r>
      <w:r>
        <w:rPr>
          <w:rFonts w:hint="default" w:ascii="Times New Roman" w:hAnsi="Times New Roman" w:eastAsia="仿宋" w:cs="Times New Roman"/>
          <w:b/>
          <w:bCs/>
          <w:color w:val="auto"/>
          <w:sz w:val="24"/>
          <w:szCs w:val="24"/>
          <w:lang w:val="en-US" w:eastAsia="zh-CN"/>
        </w:rPr>
        <w:t>2</w:t>
      </w:r>
      <w:r>
        <w:rPr>
          <w:rFonts w:hint="default" w:ascii="Times New Roman" w:hAnsi="Times New Roman" w:eastAsia="仿宋" w:cs="Times New Roman"/>
          <w:b/>
          <w:bCs/>
          <w:color w:val="auto"/>
          <w:sz w:val="24"/>
          <w:szCs w:val="24"/>
        </w:rPr>
        <w:t xml:space="preserve"> 活动水平数据和排放因子数据表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1945"/>
        <w:gridCol w:w="1091"/>
        <w:gridCol w:w="2569"/>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pct"/>
            <w:vAlign w:val="center"/>
          </w:tcPr>
          <w:p>
            <w:pPr>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排放源类别</w:t>
            </w:r>
          </w:p>
        </w:tc>
        <w:tc>
          <w:tcPr>
            <w:tcW w:w="1141" w:type="pct"/>
            <w:vAlign w:val="center"/>
          </w:tcPr>
          <w:p>
            <w:pPr>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AD</w:t>
            </w:r>
          </w:p>
        </w:tc>
        <w:tc>
          <w:tcPr>
            <w:tcW w:w="640" w:type="pct"/>
            <w:vAlign w:val="center"/>
          </w:tcPr>
          <w:p>
            <w:pPr>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rPr>
              <w:t>排放气体</w:t>
            </w:r>
          </w:p>
        </w:tc>
        <w:tc>
          <w:tcPr>
            <w:tcW w:w="1507" w:type="pct"/>
            <w:vAlign w:val="center"/>
          </w:tcPr>
          <w:p>
            <w:pPr>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EF</w:t>
            </w:r>
          </w:p>
        </w:tc>
        <w:tc>
          <w:tcPr>
            <w:tcW w:w="729" w:type="pct"/>
            <w:vAlign w:val="center"/>
          </w:tcPr>
          <w:p>
            <w:pPr>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GWP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pct"/>
            <w:vAlign w:val="center"/>
          </w:tcPr>
          <w:p>
            <w:pPr>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外购电力</w:t>
            </w:r>
          </w:p>
        </w:tc>
        <w:tc>
          <w:tcPr>
            <w:tcW w:w="1141" w:type="pct"/>
            <w:vAlign w:val="center"/>
          </w:tcPr>
          <w:p>
            <w:pPr>
              <w:jc w:val="center"/>
              <w:rPr>
                <w:rFonts w:hint="default" w:ascii="Times New Roman" w:hAnsi="Times New Roman" w:eastAsia="仿宋"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202665</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12</w:t>
            </w:r>
            <w:r>
              <w:rPr>
                <w:rFonts w:hint="default" w:ascii="Times New Roman" w:hAnsi="Times New Roman" w:eastAsia="仿宋" w:cs="Times New Roman"/>
                <w:color w:val="000000"/>
                <w:sz w:val="24"/>
                <w:szCs w:val="24"/>
                <w:lang w:eastAsia="zh-CN"/>
              </w:rPr>
              <w:t>MWh</w:t>
            </w:r>
          </w:p>
        </w:tc>
        <w:tc>
          <w:tcPr>
            <w:tcW w:w="640" w:type="pct"/>
            <w:vAlign w:val="center"/>
          </w:tcPr>
          <w:p>
            <w:pPr>
              <w:jc w:val="center"/>
              <w:rPr>
                <w:rFonts w:hint="default" w:ascii="Times New Roman" w:hAnsi="Times New Roman" w:eastAsia="仿宋" w:cs="Times New Roman"/>
                <w:color w:val="auto"/>
              </w:rPr>
            </w:pPr>
            <w:r>
              <w:rPr>
                <w:rFonts w:hint="default" w:ascii="Times New Roman" w:hAnsi="Times New Roman" w:eastAsia="仿宋" w:cs="Times New Roman"/>
                <w:color w:val="auto"/>
              </w:rPr>
              <w:t>CO</w:t>
            </w:r>
            <w:r>
              <w:rPr>
                <w:rFonts w:hint="default" w:ascii="Times New Roman" w:hAnsi="Times New Roman" w:eastAsia="仿宋" w:cs="Times New Roman"/>
                <w:color w:val="auto"/>
                <w:vertAlign w:val="subscript"/>
              </w:rPr>
              <w:t>2</w:t>
            </w:r>
          </w:p>
        </w:tc>
        <w:tc>
          <w:tcPr>
            <w:tcW w:w="1507" w:type="pct"/>
            <w:vAlign w:val="center"/>
          </w:tcPr>
          <w:p>
            <w:pPr>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000000"/>
                <w:kern w:val="0"/>
                <w:sz w:val="24"/>
                <w:szCs w:val="24"/>
              </w:rPr>
              <w:t>0.</w:t>
            </w:r>
            <w:r>
              <w:rPr>
                <w:rFonts w:hint="eastAsia" w:ascii="Times New Roman" w:hAnsi="Times New Roman" w:eastAsia="仿宋" w:cs="Times New Roman"/>
                <w:color w:val="000000"/>
                <w:kern w:val="0"/>
                <w:sz w:val="24"/>
                <w:szCs w:val="24"/>
                <w:lang w:val="en-US" w:eastAsia="zh-CN"/>
              </w:rPr>
              <w:t>5703</w:t>
            </w:r>
            <w:r>
              <w:rPr>
                <w:rFonts w:hint="default" w:ascii="Times New Roman" w:hAnsi="Times New Roman" w:eastAsia="仿宋" w:cs="Times New Roman"/>
                <w:color w:val="000000"/>
                <w:sz w:val="24"/>
                <w:szCs w:val="24"/>
                <w:lang w:eastAsia="zh-CN"/>
              </w:rPr>
              <w:t>tCO</w:t>
            </w:r>
            <w:r>
              <w:rPr>
                <w:rFonts w:hint="default" w:ascii="Times New Roman" w:hAnsi="Times New Roman" w:eastAsia="仿宋" w:cs="Times New Roman"/>
                <w:color w:val="000000"/>
                <w:sz w:val="24"/>
                <w:szCs w:val="24"/>
                <w:vertAlign w:val="subscript"/>
                <w:lang w:eastAsia="zh-CN"/>
              </w:rPr>
              <w:t>2</w:t>
            </w:r>
            <w:r>
              <w:rPr>
                <w:rFonts w:hint="default" w:ascii="Times New Roman" w:hAnsi="Times New Roman" w:eastAsia="仿宋" w:cs="Times New Roman"/>
                <w:color w:val="000000"/>
                <w:sz w:val="24"/>
                <w:szCs w:val="24"/>
                <w:lang w:eastAsia="zh-CN"/>
              </w:rPr>
              <w:t>/MWh</w:t>
            </w:r>
          </w:p>
        </w:tc>
        <w:tc>
          <w:tcPr>
            <w:tcW w:w="729" w:type="pct"/>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1" w:type="pct"/>
            <w:vAlign w:val="center"/>
          </w:tcPr>
          <w:p>
            <w:pPr>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000000"/>
                <w:sz w:val="24"/>
                <w:szCs w:val="24"/>
                <w:lang w:val="en-US" w:eastAsia="zh-CN"/>
              </w:rPr>
              <w:t>外购</w:t>
            </w:r>
            <w:r>
              <w:rPr>
                <w:rFonts w:hint="default" w:ascii="Times New Roman" w:hAnsi="Times New Roman" w:eastAsia="仿宋" w:cs="Times New Roman"/>
                <w:color w:val="000000"/>
                <w:sz w:val="24"/>
                <w:szCs w:val="24"/>
                <w:lang w:eastAsia="zh-CN"/>
              </w:rPr>
              <w:t>热力</w:t>
            </w:r>
          </w:p>
        </w:tc>
        <w:tc>
          <w:tcPr>
            <w:tcW w:w="1141" w:type="pct"/>
            <w:vAlign w:val="center"/>
          </w:tcPr>
          <w:p>
            <w:pPr>
              <w:jc w:val="center"/>
              <w:rPr>
                <w:rFonts w:hint="default" w:ascii="Times New Roman" w:hAnsi="Times New Roman" w:eastAsia="仿宋" w:cs="Times New Roman"/>
                <w:color w:val="auto"/>
                <w:sz w:val="24"/>
                <w:szCs w:val="24"/>
              </w:rPr>
            </w:pPr>
            <w:r>
              <w:rPr>
                <w:rFonts w:hint="default" w:ascii="Times New Roman" w:hAnsi="Times New Roman" w:eastAsia="宋体" w:cs="Times New Roman"/>
                <w:i w:val="0"/>
                <w:iCs w:val="0"/>
                <w:color w:val="000000"/>
                <w:kern w:val="0"/>
                <w:sz w:val="24"/>
                <w:szCs w:val="24"/>
                <w:u w:val="none"/>
                <w:lang w:val="en-US" w:eastAsia="zh-CN" w:bidi="ar"/>
              </w:rPr>
              <w:t>87024</w:t>
            </w:r>
            <w:r>
              <w:rPr>
                <w:rFonts w:hint="default" w:ascii="Times New Roman" w:hAnsi="Times New Roman" w:eastAsia="仿宋" w:cs="Times New Roman"/>
                <w:color w:val="000000"/>
                <w:sz w:val="24"/>
                <w:szCs w:val="24"/>
                <w:lang w:eastAsia="zh-CN"/>
              </w:rPr>
              <w:t>GJ</w:t>
            </w:r>
          </w:p>
        </w:tc>
        <w:tc>
          <w:tcPr>
            <w:tcW w:w="640" w:type="pct"/>
            <w:vAlign w:val="center"/>
          </w:tcPr>
          <w:p>
            <w:pPr>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rPr>
              <w:t>CO</w:t>
            </w:r>
            <w:r>
              <w:rPr>
                <w:rFonts w:hint="default" w:ascii="Times New Roman" w:hAnsi="Times New Roman" w:eastAsia="仿宋" w:cs="Times New Roman"/>
                <w:color w:val="auto"/>
                <w:vertAlign w:val="subscript"/>
              </w:rPr>
              <w:t>2</w:t>
            </w:r>
          </w:p>
        </w:tc>
        <w:tc>
          <w:tcPr>
            <w:tcW w:w="1507" w:type="pct"/>
            <w:vAlign w:val="center"/>
          </w:tcPr>
          <w:p>
            <w:pPr>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000000"/>
                <w:sz w:val="24"/>
                <w:szCs w:val="24"/>
                <w:lang w:eastAsia="zh-CN"/>
              </w:rPr>
              <w:t>0.11tCO</w:t>
            </w:r>
            <w:r>
              <w:rPr>
                <w:rFonts w:hint="default" w:ascii="Times New Roman" w:hAnsi="Times New Roman" w:eastAsia="仿宋" w:cs="Times New Roman"/>
                <w:color w:val="000000"/>
                <w:sz w:val="24"/>
                <w:szCs w:val="24"/>
                <w:vertAlign w:val="subscript"/>
                <w:lang w:eastAsia="zh-CN"/>
              </w:rPr>
              <w:t>2</w:t>
            </w:r>
            <w:r>
              <w:rPr>
                <w:rFonts w:hint="default" w:ascii="Times New Roman" w:hAnsi="Times New Roman" w:eastAsia="仿宋" w:cs="Times New Roman"/>
                <w:color w:val="000000"/>
                <w:sz w:val="24"/>
                <w:szCs w:val="24"/>
                <w:lang w:eastAsia="zh-CN"/>
              </w:rPr>
              <w:t>/GJ</w:t>
            </w:r>
          </w:p>
        </w:tc>
        <w:tc>
          <w:tcPr>
            <w:tcW w:w="729" w:type="pct"/>
            <w:vAlign w:val="center"/>
          </w:tcPr>
          <w:p>
            <w:pPr>
              <w:jc w:val="center"/>
              <w:rPr>
                <w:rFonts w:hint="eastAsia"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1" w:type="pct"/>
            <w:vAlign w:val="center"/>
          </w:tcPr>
          <w:p>
            <w:pPr>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天然气</w:t>
            </w:r>
          </w:p>
        </w:tc>
        <w:tc>
          <w:tcPr>
            <w:tcW w:w="1141" w:type="pct"/>
            <w:vAlign w:val="center"/>
          </w:tcPr>
          <w:p>
            <w:pPr>
              <w:jc w:val="center"/>
              <w:rPr>
                <w:rFonts w:hint="default" w:ascii="Times New Roman" w:hAnsi="Times New Roman" w:cs="Times New Roman"/>
                <w:sz w:val="24"/>
                <w:szCs w:val="24"/>
                <w:lang w:val="en-US" w:eastAsia="zh-CN"/>
              </w:rPr>
            </w:pPr>
            <w:r>
              <w:rPr>
                <w:rFonts w:hint="eastAsia" w:ascii="Times New Roman" w:hAnsi="Times New Roman" w:eastAsia="仿宋" w:cs="Times New Roman"/>
                <w:i w:val="0"/>
                <w:iCs w:val="0"/>
                <w:color w:val="000000"/>
                <w:kern w:val="0"/>
                <w:sz w:val="24"/>
                <w:szCs w:val="24"/>
                <w:u w:val="none"/>
                <w:lang w:val="en-US" w:eastAsia="zh-CN" w:bidi="ar"/>
              </w:rPr>
              <w:t>9.703</w:t>
            </w:r>
            <w:r>
              <w:rPr>
                <w:rFonts w:hint="default" w:ascii="Times New Roman" w:hAnsi="Times New Roman" w:eastAsia="仿宋" w:cs="Times New Roman"/>
                <w:b w:val="0"/>
                <w:bCs w:val="0"/>
                <w:sz w:val="24"/>
                <w:szCs w:val="24"/>
                <w:vertAlign w:val="baseline"/>
                <w:lang w:val="en-US" w:eastAsia="zh-CN"/>
              </w:rPr>
              <w:t>万Nm</w:t>
            </w:r>
            <w:r>
              <w:rPr>
                <w:rFonts w:hint="eastAsia" w:ascii="Times New Roman" w:hAnsi="Times New Roman" w:eastAsia="仿宋" w:cs="Times New Roman"/>
                <w:b w:val="0"/>
                <w:bCs w:val="0"/>
                <w:sz w:val="24"/>
                <w:szCs w:val="24"/>
                <w:vertAlign w:val="superscript"/>
                <w:lang w:val="en-US" w:eastAsia="zh-CN"/>
              </w:rPr>
              <w:t>3</w:t>
            </w:r>
          </w:p>
        </w:tc>
        <w:tc>
          <w:tcPr>
            <w:tcW w:w="640" w:type="pct"/>
            <w:vAlign w:val="center"/>
          </w:tcPr>
          <w:p>
            <w:pPr>
              <w:jc w:val="center"/>
              <w:rPr>
                <w:rFonts w:hint="default" w:ascii="Times New Roman" w:hAnsi="Times New Roman" w:eastAsia="仿宋" w:cs="Times New Roman"/>
                <w:color w:val="auto"/>
              </w:rPr>
            </w:pPr>
            <w:r>
              <w:rPr>
                <w:rFonts w:hint="default" w:ascii="Times New Roman" w:hAnsi="Times New Roman" w:eastAsia="仿宋" w:cs="Times New Roman"/>
                <w:color w:val="auto"/>
              </w:rPr>
              <w:t>CO</w:t>
            </w:r>
            <w:r>
              <w:rPr>
                <w:rFonts w:hint="default" w:ascii="Times New Roman" w:hAnsi="Times New Roman" w:eastAsia="仿宋" w:cs="Times New Roman"/>
                <w:color w:val="auto"/>
                <w:vertAlign w:val="subscript"/>
              </w:rPr>
              <w:t>2</w:t>
            </w:r>
          </w:p>
        </w:tc>
        <w:tc>
          <w:tcPr>
            <w:tcW w:w="1507" w:type="pct"/>
            <w:vAlign w:val="center"/>
          </w:tcPr>
          <w:p>
            <w:pPr>
              <w:jc w:val="center"/>
              <w:rPr>
                <w:rFonts w:hint="default" w:ascii="Times New Roman" w:hAnsi="Times New Roman" w:eastAsia="仿宋" w:cs="Times New Roman"/>
                <w:color w:val="auto"/>
                <w:kern w:val="0"/>
                <w:sz w:val="24"/>
                <w:szCs w:val="24"/>
              </w:rPr>
            </w:pPr>
            <w:r>
              <w:rPr>
                <w:rFonts w:hint="eastAsia" w:ascii="Times New Roman" w:hAnsi="Times New Roman" w:eastAsia="仿宋" w:cs="Times New Roman"/>
                <w:color w:val="000000"/>
                <w:sz w:val="24"/>
                <w:szCs w:val="24"/>
                <w:lang w:val="en-US" w:eastAsia="zh-CN"/>
              </w:rPr>
              <w:t>5.897</w:t>
            </w:r>
            <w:r>
              <w:rPr>
                <w:rFonts w:hint="default" w:ascii="Times New Roman" w:hAnsi="Times New Roman" w:eastAsia="仿宋" w:cs="Times New Roman"/>
                <w:color w:val="000000"/>
                <w:sz w:val="24"/>
                <w:szCs w:val="24"/>
                <w:lang w:eastAsia="zh-CN"/>
              </w:rPr>
              <w:t>tCO</w:t>
            </w:r>
            <w:r>
              <w:rPr>
                <w:rFonts w:hint="default" w:ascii="Times New Roman" w:hAnsi="Times New Roman" w:eastAsia="仿宋" w:cs="Times New Roman"/>
                <w:color w:val="000000"/>
                <w:sz w:val="24"/>
                <w:szCs w:val="24"/>
                <w:vertAlign w:val="subscript"/>
                <w:lang w:eastAsia="zh-CN"/>
              </w:rPr>
              <w:t>2</w:t>
            </w:r>
            <w:r>
              <w:rPr>
                <w:rFonts w:hint="default" w:ascii="Times New Roman" w:hAnsi="Times New Roman" w:eastAsia="仿宋" w:cs="Times New Roman"/>
                <w:color w:val="000000"/>
                <w:sz w:val="24"/>
                <w:szCs w:val="24"/>
                <w:lang w:eastAsia="zh-CN"/>
              </w:rPr>
              <w:t>/</w:t>
            </w:r>
            <w:r>
              <w:rPr>
                <w:rFonts w:hint="default" w:ascii="Times New Roman" w:hAnsi="Times New Roman" w:eastAsia="仿宋" w:cs="Times New Roman"/>
                <w:b w:val="0"/>
                <w:bCs w:val="0"/>
                <w:sz w:val="24"/>
                <w:szCs w:val="24"/>
                <w:vertAlign w:val="baseline"/>
                <w:lang w:val="en-US" w:eastAsia="zh-CN"/>
              </w:rPr>
              <w:t>万Nm</w:t>
            </w:r>
            <w:r>
              <w:rPr>
                <w:rFonts w:hint="eastAsia" w:ascii="Times New Roman" w:hAnsi="Times New Roman" w:eastAsia="仿宋" w:cs="Times New Roman"/>
                <w:b w:val="0"/>
                <w:bCs w:val="0"/>
                <w:sz w:val="24"/>
                <w:szCs w:val="24"/>
                <w:vertAlign w:val="superscript"/>
                <w:lang w:val="en-US" w:eastAsia="zh-CN"/>
              </w:rPr>
              <w:t>3</w:t>
            </w:r>
          </w:p>
        </w:tc>
        <w:tc>
          <w:tcPr>
            <w:tcW w:w="729" w:type="pct"/>
            <w:vAlign w:val="center"/>
          </w:tcPr>
          <w:p>
            <w:pPr>
              <w:jc w:val="center"/>
              <w:rPr>
                <w:rFonts w:hint="eastAsia" w:ascii="Times New Roman" w:hAnsi="Times New Roman" w:eastAsia="仿宋" w:cs="Times New Roman"/>
                <w:color w:val="auto"/>
                <w:kern w:val="0"/>
                <w:sz w:val="24"/>
                <w:szCs w:val="24"/>
                <w:lang w:val="en-US" w:eastAsia="zh-CN"/>
              </w:rPr>
            </w:pPr>
            <w:r>
              <w:rPr>
                <w:rFonts w:hint="eastAsia" w:ascii="Times New Roman" w:hAnsi="Times New Roman" w:eastAsia="仿宋" w:cs="Times New Roman"/>
                <w:color w:val="auto"/>
                <w:kern w:val="0"/>
                <w:sz w:val="24"/>
                <w:szCs w:val="24"/>
                <w:lang w:val="en-US" w:eastAsia="zh-CN"/>
              </w:rPr>
              <w:t>1</w:t>
            </w:r>
          </w:p>
        </w:tc>
      </w:tr>
    </w:tbl>
    <w:p>
      <w:pPr>
        <w:pStyle w:val="22"/>
        <w:widowControl/>
        <w:shd w:val="clear" w:color="auto" w:fill="FFFFFF"/>
        <w:spacing w:before="156" w:beforeLines="50" w:line="360" w:lineRule="auto"/>
        <w:ind w:left="482" w:firstLine="0" w:firstLineChars="0"/>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1.1外购电力</w:t>
      </w:r>
    </w:p>
    <w:p>
      <w:pPr>
        <w:widowControl/>
        <w:shd w:val="clear" w:color="auto" w:fill="FFFFFF"/>
        <w:spacing w:line="480" w:lineRule="auto"/>
        <w:ind w:firstLine="560" w:firstLineChars="200"/>
        <w:jc w:val="lef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kern w:val="0"/>
          <w:sz w:val="28"/>
          <w:szCs w:val="28"/>
        </w:rPr>
        <w:t>EGHG =AD × EF × GWP =</w:t>
      </w:r>
      <w:r>
        <w:rPr>
          <w:rFonts w:hint="eastAsia" w:ascii="Times New Roman" w:hAnsi="Times New Roman" w:eastAsia="仿宋" w:cs="Times New Roman"/>
          <w:i w:val="0"/>
          <w:iCs w:val="0"/>
          <w:color w:val="000000"/>
          <w:kern w:val="0"/>
          <w:sz w:val="28"/>
          <w:szCs w:val="28"/>
          <w:u w:val="none"/>
          <w:lang w:val="en-US" w:eastAsia="zh-CN" w:bidi="ar"/>
        </w:rPr>
        <w:t>202665.12</w:t>
      </w:r>
      <w:r>
        <w:rPr>
          <w:rFonts w:hint="default" w:ascii="Times New Roman" w:hAnsi="Times New Roman" w:eastAsia="仿宋" w:cs="Times New Roman"/>
          <w:color w:val="auto"/>
          <w:kern w:val="0"/>
          <w:sz w:val="28"/>
          <w:szCs w:val="28"/>
        </w:rPr>
        <w:t>×</w:t>
      </w:r>
      <w:r>
        <w:rPr>
          <w:rFonts w:hint="default" w:ascii="Times New Roman" w:hAnsi="Times New Roman" w:eastAsia="仿宋" w:cs="Times New Roman"/>
          <w:color w:val="000000"/>
          <w:kern w:val="0"/>
          <w:sz w:val="28"/>
          <w:szCs w:val="28"/>
        </w:rPr>
        <w:t>0.</w:t>
      </w:r>
      <w:r>
        <w:rPr>
          <w:rFonts w:hint="eastAsia" w:ascii="Times New Roman" w:hAnsi="Times New Roman" w:eastAsia="仿宋" w:cs="Times New Roman"/>
          <w:color w:val="000000"/>
          <w:kern w:val="0"/>
          <w:sz w:val="28"/>
          <w:szCs w:val="28"/>
          <w:lang w:val="en-US" w:eastAsia="zh-CN"/>
        </w:rPr>
        <w:t>5703</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lang w:val="en-US" w:eastAsia="zh-CN"/>
        </w:rPr>
        <w:t>115579.92</w:t>
      </w:r>
      <w:r>
        <w:rPr>
          <w:rFonts w:hint="default" w:ascii="Times New Roman" w:hAnsi="Times New Roman" w:eastAsia="仿宋" w:cs="Times New Roman"/>
          <w:color w:val="auto"/>
          <w:kern w:val="0"/>
          <w:sz w:val="28"/>
          <w:szCs w:val="28"/>
        </w:rPr>
        <w:t>tCO</w:t>
      </w:r>
      <w:r>
        <w:rPr>
          <w:rFonts w:hint="default" w:ascii="Times New Roman" w:hAnsi="Times New Roman" w:eastAsia="仿宋" w:cs="Times New Roman"/>
          <w:color w:val="auto"/>
          <w:kern w:val="0"/>
          <w:sz w:val="28"/>
          <w:szCs w:val="28"/>
          <w:vertAlign w:val="subscript"/>
        </w:rPr>
        <w:t>2</w:t>
      </w:r>
      <w:r>
        <w:rPr>
          <w:rFonts w:hint="default" w:ascii="Times New Roman" w:hAnsi="Times New Roman" w:eastAsia="仿宋" w:cs="Times New Roman"/>
          <w:color w:val="auto"/>
          <w:kern w:val="0"/>
          <w:sz w:val="28"/>
          <w:szCs w:val="28"/>
        </w:rPr>
        <w:t>e</w:t>
      </w:r>
    </w:p>
    <w:p>
      <w:pPr>
        <w:pStyle w:val="22"/>
        <w:widowControl/>
        <w:shd w:val="clear" w:color="auto" w:fill="FFFFFF"/>
        <w:spacing w:before="156" w:beforeLines="50" w:line="360" w:lineRule="auto"/>
        <w:ind w:left="482" w:firstLine="0" w:firstLineChars="0"/>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1.</w:t>
      </w:r>
      <w:r>
        <w:rPr>
          <w:rFonts w:hint="eastAsia" w:ascii="Times New Roman" w:hAnsi="Times New Roman" w:eastAsia="仿宋" w:cs="Times New Roman"/>
          <w:b/>
          <w:bCs/>
          <w:color w:val="auto"/>
          <w:kern w:val="0"/>
          <w:sz w:val="28"/>
          <w:szCs w:val="28"/>
          <w:lang w:val="en-US" w:eastAsia="zh-CN"/>
        </w:rPr>
        <w:t>2</w:t>
      </w:r>
      <w:r>
        <w:rPr>
          <w:rFonts w:hint="default" w:ascii="Times New Roman" w:hAnsi="Times New Roman" w:eastAsia="仿宋" w:cs="Times New Roman"/>
          <w:b/>
          <w:bCs/>
          <w:color w:val="auto"/>
          <w:kern w:val="0"/>
          <w:sz w:val="28"/>
          <w:szCs w:val="28"/>
        </w:rPr>
        <w:t>外购</w:t>
      </w:r>
      <w:r>
        <w:rPr>
          <w:rFonts w:hint="eastAsia" w:ascii="Times New Roman" w:hAnsi="Times New Roman" w:eastAsia="仿宋" w:cs="Times New Roman"/>
          <w:b/>
          <w:bCs/>
          <w:color w:val="auto"/>
          <w:kern w:val="0"/>
          <w:sz w:val="28"/>
          <w:szCs w:val="28"/>
          <w:lang w:val="en-US" w:eastAsia="zh-CN"/>
        </w:rPr>
        <w:t>热</w:t>
      </w:r>
      <w:r>
        <w:rPr>
          <w:rFonts w:hint="default" w:ascii="Times New Roman" w:hAnsi="Times New Roman" w:eastAsia="仿宋" w:cs="Times New Roman"/>
          <w:b/>
          <w:bCs/>
          <w:color w:val="auto"/>
          <w:kern w:val="0"/>
          <w:sz w:val="28"/>
          <w:szCs w:val="28"/>
        </w:rPr>
        <w:t>力</w:t>
      </w:r>
    </w:p>
    <w:p>
      <w:pPr>
        <w:widowControl/>
        <w:shd w:val="clear" w:color="auto" w:fill="FFFFFF"/>
        <w:spacing w:line="480" w:lineRule="auto"/>
        <w:ind w:firstLine="560" w:firstLineChars="200"/>
        <w:jc w:val="lef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kern w:val="0"/>
          <w:sz w:val="28"/>
          <w:szCs w:val="28"/>
        </w:rPr>
        <w:t>EGHG =AD × EF × GWP =</w:t>
      </w:r>
      <w:r>
        <w:rPr>
          <w:rFonts w:hint="default" w:ascii="Times New Roman" w:hAnsi="Times New Roman" w:eastAsia="宋体" w:cs="Times New Roman"/>
          <w:i w:val="0"/>
          <w:iCs w:val="0"/>
          <w:color w:val="000000"/>
          <w:kern w:val="0"/>
          <w:sz w:val="24"/>
          <w:szCs w:val="24"/>
          <w:u w:val="none"/>
          <w:lang w:val="en-US" w:eastAsia="zh-CN" w:bidi="ar"/>
        </w:rPr>
        <w:t>87024</w:t>
      </w:r>
      <w:r>
        <w:rPr>
          <w:rFonts w:hint="default" w:ascii="Times New Roman" w:hAnsi="Times New Roman" w:eastAsia="仿宋" w:cs="Times New Roman"/>
          <w:color w:val="auto"/>
          <w:kern w:val="0"/>
          <w:sz w:val="28"/>
          <w:szCs w:val="28"/>
        </w:rPr>
        <w:t>×0.</w:t>
      </w:r>
      <w:r>
        <w:rPr>
          <w:rFonts w:hint="eastAsia" w:ascii="Times New Roman" w:hAnsi="Times New Roman" w:eastAsia="仿宋" w:cs="Times New Roman"/>
          <w:color w:val="auto"/>
          <w:kern w:val="0"/>
          <w:sz w:val="28"/>
          <w:szCs w:val="28"/>
          <w:lang w:val="en-US" w:eastAsia="zh-CN"/>
        </w:rPr>
        <w:t>11</w:t>
      </w:r>
      <w:r>
        <w:rPr>
          <w:rFonts w:hint="default" w:ascii="Times New Roman" w:hAnsi="Times New Roman" w:eastAsia="仿宋" w:cs="Times New Roman"/>
          <w:color w:val="auto"/>
          <w:kern w:val="0"/>
          <w:sz w:val="28"/>
          <w:szCs w:val="28"/>
        </w:rPr>
        <w:t>=</w:t>
      </w:r>
      <w:r>
        <w:rPr>
          <w:rFonts w:hint="default" w:ascii="Times New Roman" w:hAnsi="Times New Roman" w:eastAsia="仿宋" w:cs="Times New Roman"/>
          <w:color w:val="auto"/>
          <w:kern w:val="0"/>
          <w:sz w:val="28"/>
          <w:szCs w:val="28"/>
          <w:lang w:val="en-US" w:eastAsia="zh-CN"/>
        </w:rPr>
        <w:t>9572.64</w:t>
      </w:r>
      <w:r>
        <w:rPr>
          <w:rFonts w:hint="default" w:ascii="Times New Roman" w:hAnsi="Times New Roman" w:eastAsia="仿宋" w:cs="Times New Roman"/>
          <w:color w:val="auto"/>
          <w:kern w:val="0"/>
          <w:sz w:val="28"/>
          <w:szCs w:val="28"/>
        </w:rPr>
        <w:t>tCO</w:t>
      </w:r>
      <w:r>
        <w:rPr>
          <w:rFonts w:hint="default" w:ascii="Times New Roman" w:hAnsi="Times New Roman" w:eastAsia="仿宋" w:cs="Times New Roman"/>
          <w:color w:val="auto"/>
          <w:kern w:val="0"/>
          <w:sz w:val="28"/>
          <w:szCs w:val="28"/>
          <w:vertAlign w:val="subscript"/>
        </w:rPr>
        <w:t>2</w:t>
      </w:r>
      <w:r>
        <w:rPr>
          <w:rFonts w:hint="default" w:ascii="Times New Roman" w:hAnsi="Times New Roman" w:eastAsia="仿宋" w:cs="Times New Roman"/>
          <w:color w:val="auto"/>
          <w:kern w:val="0"/>
          <w:sz w:val="28"/>
          <w:szCs w:val="28"/>
        </w:rPr>
        <w:t>e</w:t>
      </w:r>
    </w:p>
    <w:p>
      <w:pPr>
        <w:widowControl/>
        <w:shd w:val="clear" w:color="auto" w:fill="FFFFFF"/>
        <w:spacing w:line="480" w:lineRule="auto"/>
        <w:ind w:firstLine="560" w:firstLineChars="200"/>
        <w:jc w:val="left"/>
        <w:rPr>
          <w:rFonts w:hint="default" w:ascii="Times New Roman" w:hAnsi="Times New Roman" w:eastAsia="仿宋" w:cs="Times New Roman"/>
          <w:color w:val="auto"/>
          <w:kern w:val="0"/>
          <w:sz w:val="28"/>
          <w:szCs w:val="28"/>
        </w:rPr>
      </w:pPr>
    </w:p>
    <w:p>
      <w:pPr>
        <w:pStyle w:val="22"/>
        <w:widowControl/>
        <w:shd w:val="clear" w:color="auto" w:fill="FFFFFF"/>
        <w:spacing w:before="156" w:beforeLines="50" w:line="360" w:lineRule="auto"/>
        <w:ind w:left="482" w:firstLine="0" w:firstLineChars="0"/>
        <w:rPr>
          <w:rFonts w:hint="eastAsia" w:ascii="Times New Roman" w:hAnsi="Times New Roman" w:eastAsia="仿宋" w:cs="Times New Roman"/>
          <w:b/>
          <w:bCs/>
          <w:color w:val="auto"/>
          <w:kern w:val="0"/>
          <w:sz w:val="28"/>
          <w:szCs w:val="28"/>
          <w:lang w:eastAsia="zh-CN"/>
        </w:rPr>
      </w:pPr>
      <w:r>
        <w:rPr>
          <w:rFonts w:hint="default" w:ascii="Times New Roman" w:hAnsi="Times New Roman" w:eastAsia="仿宋" w:cs="Times New Roman"/>
          <w:b/>
          <w:bCs/>
          <w:color w:val="auto"/>
          <w:kern w:val="0"/>
          <w:sz w:val="28"/>
          <w:szCs w:val="28"/>
        </w:rPr>
        <w:t>1.</w:t>
      </w:r>
      <w:r>
        <w:rPr>
          <w:rFonts w:hint="eastAsia" w:ascii="Times New Roman" w:hAnsi="Times New Roman" w:eastAsia="仿宋" w:cs="Times New Roman"/>
          <w:b/>
          <w:bCs/>
          <w:color w:val="auto"/>
          <w:kern w:val="0"/>
          <w:sz w:val="28"/>
          <w:szCs w:val="28"/>
          <w:lang w:val="en-US" w:eastAsia="zh-CN"/>
        </w:rPr>
        <w:t>3天然气</w:t>
      </w:r>
    </w:p>
    <w:p>
      <w:pPr>
        <w:widowControl/>
        <w:shd w:val="clear" w:color="auto" w:fill="FFFFFF"/>
        <w:spacing w:line="480" w:lineRule="auto"/>
        <w:ind w:firstLine="560" w:firstLineChars="200"/>
        <w:jc w:val="lef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kern w:val="0"/>
          <w:sz w:val="28"/>
          <w:szCs w:val="28"/>
        </w:rPr>
        <w:t>EGHG =AD × EF × GWP =</w:t>
      </w:r>
      <w:r>
        <w:rPr>
          <w:rFonts w:hint="default" w:ascii="Times New Roman" w:hAnsi="Times New Roman" w:eastAsia="仿宋" w:cs="Times New Roman"/>
          <w:color w:val="auto"/>
          <w:kern w:val="0"/>
          <w:sz w:val="28"/>
          <w:szCs w:val="28"/>
          <w:lang w:val="en-US" w:eastAsia="zh-CN"/>
        </w:rPr>
        <w:t>9.703</w:t>
      </w:r>
      <w:r>
        <w:rPr>
          <w:rFonts w:hint="default" w:ascii="Times New Roman" w:hAnsi="Times New Roman" w:eastAsia="仿宋" w:cs="Times New Roman"/>
          <w:color w:val="auto"/>
          <w:kern w:val="0"/>
          <w:sz w:val="28"/>
          <w:szCs w:val="28"/>
        </w:rPr>
        <w:t>×</w:t>
      </w:r>
      <w:r>
        <w:rPr>
          <w:rFonts w:hint="default" w:ascii="Times New Roman" w:hAnsi="Times New Roman" w:eastAsia="仿宋" w:cs="Times New Roman"/>
          <w:color w:val="auto"/>
          <w:kern w:val="0"/>
          <w:sz w:val="28"/>
          <w:szCs w:val="28"/>
          <w:lang w:val="en-US" w:eastAsia="zh-CN"/>
        </w:rPr>
        <w:t>5.897</w:t>
      </w:r>
      <w:r>
        <w:rPr>
          <w:rFonts w:hint="default" w:ascii="Times New Roman" w:hAnsi="Times New Roman" w:eastAsia="仿宋" w:cs="Times New Roman"/>
          <w:color w:val="auto"/>
          <w:kern w:val="0"/>
          <w:sz w:val="28"/>
          <w:szCs w:val="28"/>
        </w:rPr>
        <w:t>=</w:t>
      </w:r>
      <w:r>
        <w:rPr>
          <w:rFonts w:hint="default" w:ascii="Times New Roman" w:hAnsi="Times New Roman" w:eastAsia="仿宋" w:cs="Times New Roman"/>
          <w:color w:val="auto"/>
          <w:kern w:val="0"/>
          <w:sz w:val="28"/>
          <w:szCs w:val="28"/>
          <w:lang w:val="en-US" w:eastAsia="zh-CN"/>
        </w:rPr>
        <w:t xml:space="preserve">209.80 </w:t>
      </w:r>
      <w:r>
        <w:rPr>
          <w:rFonts w:hint="default" w:ascii="Times New Roman" w:hAnsi="Times New Roman" w:eastAsia="仿宋" w:cs="Times New Roman"/>
          <w:color w:val="auto"/>
          <w:kern w:val="0"/>
          <w:sz w:val="28"/>
          <w:szCs w:val="28"/>
        </w:rPr>
        <w:t>tCO</w:t>
      </w:r>
      <w:r>
        <w:rPr>
          <w:rFonts w:hint="default" w:ascii="Times New Roman" w:hAnsi="Times New Roman" w:eastAsia="仿宋" w:cs="Times New Roman"/>
          <w:color w:val="auto"/>
          <w:kern w:val="0"/>
          <w:sz w:val="28"/>
          <w:szCs w:val="28"/>
          <w:vertAlign w:val="subscript"/>
        </w:rPr>
        <w:t>2</w:t>
      </w:r>
      <w:r>
        <w:rPr>
          <w:rFonts w:hint="default" w:ascii="Times New Roman" w:hAnsi="Times New Roman" w:eastAsia="仿宋" w:cs="Times New Roman"/>
          <w:color w:val="auto"/>
          <w:kern w:val="0"/>
          <w:sz w:val="28"/>
          <w:szCs w:val="28"/>
        </w:rPr>
        <w:t>e</w:t>
      </w:r>
    </w:p>
    <w:p>
      <w:pPr>
        <w:widowControl/>
        <w:shd w:val="clear" w:color="auto" w:fill="FFFFFF"/>
        <w:spacing w:line="360" w:lineRule="auto"/>
        <w:ind w:firstLine="562" w:firstLineChars="200"/>
        <w:rPr>
          <w:rFonts w:hint="default" w:ascii="Times New Roman" w:hAnsi="Times New Roman" w:eastAsia="仿宋" w:cs="Times New Roman"/>
          <w:b/>
          <w:bCs/>
          <w:i w:val="0"/>
          <w:iCs w:val="0"/>
          <w:color w:val="auto"/>
          <w:kern w:val="0"/>
          <w:sz w:val="28"/>
          <w:szCs w:val="28"/>
          <w:u w:val="single"/>
        </w:rPr>
      </w:pPr>
      <w:r>
        <w:rPr>
          <w:rFonts w:hint="default" w:ascii="Times New Roman" w:hAnsi="Times New Roman" w:eastAsia="仿宋" w:cs="Times New Roman"/>
          <w:b/>
          <w:bCs/>
          <w:i w:val="0"/>
          <w:iCs w:val="0"/>
          <w:color w:val="auto"/>
          <w:kern w:val="0"/>
          <w:sz w:val="28"/>
          <w:szCs w:val="28"/>
          <w:u w:val="single"/>
        </w:rPr>
        <w:t>报告主体202</w:t>
      </w:r>
      <w:r>
        <w:rPr>
          <w:rFonts w:hint="default" w:ascii="Times New Roman" w:hAnsi="Times New Roman" w:eastAsia="仿宋" w:cs="Times New Roman"/>
          <w:b/>
          <w:bCs/>
          <w:i w:val="0"/>
          <w:iCs w:val="0"/>
          <w:color w:val="auto"/>
          <w:kern w:val="0"/>
          <w:sz w:val="28"/>
          <w:szCs w:val="28"/>
          <w:u w:val="single"/>
          <w:lang w:val="en-US" w:eastAsia="zh-CN"/>
        </w:rPr>
        <w:t>2</w:t>
      </w:r>
      <w:r>
        <w:rPr>
          <w:rFonts w:hint="default" w:ascii="Times New Roman" w:hAnsi="Times New Roman" w:eastAsia="仿宋" w:cs="Times New Roman"/>
          <w:b/>
          <w:bCs/>
          <w:i w:val="0"/>
          <w:iCs w:val="0"/>
          <w:color w:val="auto"/>
          <w:kern w:val="0"/>
          <w:sz w:val="28"/>
          <w:szCs w:val="28"/>
          <w:u w:val="single"/>
        </w:rPr>
        <w:t>年度报告期内二氧化碳当量的排放量为125362.36吨，其中外购电力二氧化碳当量的排放量为115579.92吨</w:t>
      </w:r>
      <w:r>
        <w:rPr>
          <w:rFonts w:hint="default" w:ascii="Times New Roman" w:hAnsi="Times New Roman" w:eastAsia="宋体" w:cs="Times New Roman"/>
          <w:b/>
          <w:bCs/>
          <w:i w:val="0"/>
          <w:iCs w:val="0"/>
          <w:color w:val="000000"/>
          <w:kern w:val="0"/>
          <w:sz w:val="28"/>
          <w:szCs w:val="28"/>
          <w:u w:val="single"/>
          <w:lang w:val="en-US" w:eastAsia="zh-CN" w:bidi="ar"/>
        </w:rPr>
        <w:t>，</w:t>
      </w:r>
      <w:r>
        <w:rPr>
          <w:rFonts w:hint="eastAsia" w:ascii="Times New Roman" w:hAnsi="Times New Roman" w:eastAsia="宋体" w:cs="Times New Roman"/>
          <w:b/>
          <w:bCs/>
          <w:i w:val="0"/>
          <w:iCs w:val="0"/>
          <w:color w:val="000000"/>
          <w:kern w:val="0"/>
          <w:sz w:val="28"/>
          <w:szCs w:val="28"/>
          <w:u w:val="single"/>
          <w:lang w:val="en-US" w:eastAsia="zh-CN" w:bidi="ar"/>
        </w:rPr>
        <w:t>外</w:t>
      </w:r>
      <w:r>
        <w:rPr>
          <w:rFonts w:hint="default" w:ascii="Times New Roman" w:hAnsi="Times New Roman" w:eastAsia="仿宋" w:cs="Times New Roman"/>
          <w:b/>
          <w:bCs/>
          <w:i w:val="0"/>
          <w:iCs w:val="0"/>
          <w:color w:val="auto"/>
          <w:kern w:val="0"/>
          <w:sz w:val="28"/>
          <w:szCs w:val="28"/>
          <w:u w:val="single"/>
        </w:rPr>
        <w:t>购</w:t>
      </w:r>
      <w:r>
        <w:rPr>
          <w:rFonts w:hint="eastAsia" w:ascii="Times New Roman" w:hAnsi="Times New Roman" w:eastAsia="仿宋" w:cs="Times New Roman"/>
          <w:b/>
          <w:bCs/>
          <w:i w:val="0"/>
          <w:iCs w:val="0"/>
          <w:color w:val="auto"/>
          <w:kern w:val="0"/>
          <w:sz w:val="28"/>
          <w:szCs w:val="28"/>
          <w:u w:val="single"/>
          <w:lang w:val="en-US" w:eastAsia="zh-CN"/>
        </w:rPr>
        <w:t>热</w:t>
      </w:r>
      <w:r>
        <w:rPr>
          <w:rFonts w:hint="default" w:ascii="Times New Roman" w:hAnsi="Times New Roman" w:eastAsia="仿宋" w:cs="Times New Roman"/>
          <w:b/>
          <w:bCs/>
          <w:i w:val="0"/>
          <w:iCs w:val="0"/>
          <w:color w:val="auto"/>
          <w:kern w:val="0"/>
          <w:sz w:val="28"/>
          <w:szCs w:val="28"/>
          <w:u w:val="single"/>
        </w:rPr>
        <w:t>力二氧化碳当量的排放量为9572.64吨</w:t>
      </w:r>
      <w:r>
        <w:rPr>
          <w:rFonts w:hint="default" w:ascii="Times New Roman" w:hAnsi="Times New Roman" w:eastAsia="宋体" w:cs="Times New Roman"/>
          <w:b/>
          <w:bCs/>
          <w:i w:val="0"/>
          <w:iCs w:val="0"/>
          <w:color w:val="000000"/>
          <w:kern w:val="0"/>
          <w:sz w:val="28"/>
          <w:szCs w:val="28"/>
          <w:u w:val="single"/>
          <w:lang w:val="en-US" w:eastAsia="zh-CN" w:bidi="ar"/>
        </w:rPr>
        <w:t>，</w:t>
      </w:r>
      <w:r>
        <w:rPr>
          <w:rFonts w:hint="eastAsia" w:ascii="Times New Roman" w:hAnsi="Times New Roman" w:eastAsia="仿宋" w:cs="Times New Roman"/>
          <w:b/>
          <w:bCs/>
          <w:i w:val="0"/>
          <w:iCs w:val="0"/>
          <w:color w:val="000000"/>
          <w:kern w:val="0"/>
          <w:sz w:val="28"/>
          <w:szCs w:val="28"/>
          <w:u w:val="single"/>
          <w:lang w:val="en-US" w:eastAsia="zh-CN" w:bidi="ar"/>
        </w:rPr>
        <w:t>天然气</w:t>
      </w:r>
      <w:r>
        <w:rPr>
          <w:rFonts w:hint="default" w:ascii="Times New Roman" w:hAnsi="Times New Roman" w:eastAsia="仿宋" w:cs="Times New Roman"/>
          <w:b/>
          <w:bCs/>
          <w:i w:val="0"/>
          <w:iCs w:val="0"/>
          <w:color w:val="auto"/>
          <w:kern w:val="0"/>
          <w:sz w:val="28"/>
          <w:szCs w:val="28"/>
          <w:u w:val="single"/>
        </w:rPr>
        <w:t>二氧化碳当量的排放量为209.80吨</w:t>
      </w:r>
      <w:r>
        <w:rPr>
          <w:rFonts w:hint="default" w:ascii="Times New Roman" w:hAnsi="Times New Roman" w:eastAsia="宋体" w:cs="Times New Roman"/>
          <w:b/>
          <w:bCs/>
          <w:i w:val="0"/>
          <w:iCs w:val="0"/>
          <w:color w:val="000000"/>
          <w:kern w:val="0"/>
          <w:sz w:val="28"/>
          <w:szCs w:val="28"/>
          <w:u w:val="single"/>
          <w:lang w:val="en-US" w:eastAsia="zh-CN" w:bidi="ar"/>
        </w:rPr>
        <w:t>，</w:t>
      </w:r>
      <w:r>
        <w:rPr>
          <w:rFonts w:hint="default" w:ascii="Times New Roman" w:hAnsi="Times New Roman" w:eastAsia="仿宋" w:cs="Times New Roman"/>
          <w:b/>
          <w:bCs/>
          <w:i w:val="0"/>
          <w:iCs w:val="0"/>
          <w:color w:val="auto"/>
          <w:kern w:val="0"/>
          <w:sz w:val="28"/>
          <w:szCs w:val="28"/>
          <w:u w:val="single"/>
        </w:rPr>
        <w:t>生产过程的副产物及逃逸排放量为0吨二氧化碳。</w:t>
      </w:r>
    </w:p>
    <w:p>
      <w:pPr>
        <w:pStyle w:val="5"/>
        <w:keepNex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 xml:space="preserve">表格 </w:t>
      </w:r>
      <w:r>
        <w:rPr>
          <w:rFonts w:hint="default" w:ascii="Times New Roman" w:hAnsi="Times New Roman" w:eastAsia="仿宋" w:cs="Times New Roman"/>
          <w:b/>
          <w:bCs/>
          <w:color w:val="auto"/>
          <w:sz w:val="24"/>
          <w:szCs w:val="24"/>
        </w:rPr>
        <w:fldChar w:fldCharType="begin"/>
      </w:r>
      <w:r>
        <w:rPr>
          <w:rFonts w:hint="default" w:ascii="Times New Roman" w:hAnsi="Times New Roman" w:eastAsia="仿宋" w:cs="Times New Roman"/>
          <w:b/>
          <w:bCs/>
          <w:color w:val="auto"/>
          <w:sz w:val="24"/>
          <w:szCs w:val="24"/>
        </w:rPr>
        <w:instrText xml:space="preserve"> SEQ 表格 \* ARABIC </w:instrText>
      </w:r>
      <w:r>
        <w:rPr>
          <w:rFonts w:hint="default" w:ascii="Times New Roman" w:hAnsi="Times New Roman" w:eastAsia="仿宋" w:cs="Times New Roman"/>
          <w:b/>
          <w:bCs/>
          <w:color w:val="auto"/>
          <w:sz w:val="24"/>
          <w:szCs w:val="24"/>
        </w:rPr>
        <w:fldChar w:fldCharType="separate"/>
      </w:r>
      <w:r>
        <w:rPr>
          <w:rFonts w:hint="default" w:ascii="Times New Roman" w:hAnsi="Times New Roman" w:eastAsia="仿宋" w:cs="Times New Roman"/>
          <w:b/>
          <w:bCs/>
          <w:color w:val="auto"/>
          <w:sz w:val="24"/>
          <w:szCs w:val="24"/>
        </w:rPr>
        <w:t>6</w:t>
      </w:r>
      <w:r>
        <w:rPr>
          <w:rFonts w:hint="default" w:ascii="Times New Roman" w:hAnsi="Times New Roman" w:eastAsia="仿宋" w:cs="Times New Roman"/>
          <w:b/>
          <w:bCs/>
          <w:color w:val="auto"/>
          <w:sz w:val="24"/>
          <w:szCs w:val="24"/>
        </w:rPr>
        <w:fldChar w:fldCharType="end"/>
      </w:r>
      <w:r>
        <w:rPr>
          <w:rFonts w:hint="default" w:ascii="Times New Roman" w:hAnsi="Times New Roman" w:eastAsia="仿宋" w:cs="Times New Roman"/>
          <w:b/>
          <w:bCs/>
          <w:color w:val="auto"/>
          <w:sz w:val="24"/>
          <w:szCs w:val="24"/>
        </w:rPr>
        <w:t>活动水平数据和排放因子数据表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1749"/>
        <w:gridCol w:w="1770"/>
        <w:gridCol w:w="161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9"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名称</w:t>
            </w:r>
          </w:p>
        </w:tc>
        <w:tc>
          <w:tcPr>
            <w:tcW w:w="1026"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排放气体种类</w:t>
            </w:r>
          </w:p>
        </w:tc>
        <w:tc>
          <w:tcPr>
            <w:tcW w:w="1038"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CO</w:t>
            </w:r>
            <w:r>
              <w:rPr>
                <w:rFonts w:hint="default" w:ascii="Times New Roman" w:hAnsi="Times New Roman" w:eastAsia="仿宋" w:cs="Times New Roman"/>
                <w:b w:val="0"/>
                <w:bCs w:val="0"/>
                <w:color w:val="auto"/>
                <w:kern w:val="0"/>
                <w:sz w:val="24"/>
                <w:szCs w:val="24"/>
                <w:u w:val="none"/>
                <w:vertAlign w:val="subscript"/>
              </w:rPr>
              <w:t>2</w:t>
            </w:r>
            <w:r>
              <w:rPr>
                <w:rFonts w:hint="default" w:ascii="Times New Roman" w:hAnsi="Times New Roman" w:eastAsia="仿宋" w:cs="Times New Roman"/>
                <w:b w:val="0"/>
                <w:bCs w:val="0"/>
                <w:color w:val="auto"/>
                <w:kern w:val="0"/>
                <w:sz w:val="24"/>
                <w:szCs w:val="24"/>
                <w:u w:val="none"/>
              </w:rPr>
              <w:t>e</w:t>
            </w:r>
          </w:p>
        </w:tc>
        <w:tc>
          <w:tcPr>
            <w:tcW w:w="949"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碳排放环节</w:t>
            </w:r>
          </w:p>
        </w:tc>
        <w:tc>
          <w:tcPr>
            <w:tcW w:w="966"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19"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外购电力</w:t>
            </w:r>
          </w:p>
        </w:tc>
        <w:tc>
          <w:tcPr>
            <w:tcW w:w="1026"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CO</w:t>
            </w:r>
            <w:r>
              <w:rPr>
                <w:rFonts w:hint="default" w:ascii="Times New Roman" w:hAnsi="Times New Roman" w:eastAsia="仿宋" w:cs="Times New Roman"/>
                <w:b w:val="0"/>
                <w:bCs w:val="0"/>
                <w:color w:val="auto"/>
                <w:kern w:val="0"/>
                <w:sz w:val="24"/>
                <w:szCs w:val="24"/>
                <w:u w:val="none"/>
                <w:vertAlign w:val="subscript"/>
              </w:rPr>
              <w:t>2</w:t>
            </w:r>
          </w:p>
        </w:tc>
        <w:tc>
          <w:tcPr>
            <w:tcW w:w="1038" w:type="pct"/>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115579.92</w:t>
            </w:r>
          </w:p>
        </w:tc>
        <w:tc>
          <w:tcPr>
            <w:tcW w:w="949"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生产、生活</w:t>
            </w:r>
          </w:p>
        </w:tc>
        <w:tc>
          <w:tcPr>
            <w:tcW w:w="96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color w:val="auto"/>
                <w:sz w:val="24"/>
                <w:szCs w:val="24"/>
                <w:u w:val="none"/>
                <w:lang w:val="en-US" w:eastAsia="zh-CN"/>
              </w:rPr>
            </w:pPr>
            <w:r>
              <w:rPr>
                <w:rFonts w:hint="eastAsia" w:ascii="Times New Roman" w:hAnsi="Times New Roman" w:eastAsia="仿宋" w:cs="Times New Roman"/>
                <w:b w:val="0"/>
                <w:bCs w:val="0"/>
                <w:i w:val="0"/>
                <w:iCs w:val="0"/>
                <w:color w:val="000000"/>
                <w:kern w:val="0"/>
                <w:sz w:val="24"/>
                <w:szCs w:val="24"/>
                <w:u w:val="none"/>
                <w:lang w:val="en-US" w:eastAsia="zh-CN" w:bidi="ar"/>
              </w:rPr>
              <w:t>92.20</w:t>
            </w:r>
            <w:r>
              <w:rPr>
                <w:rFonts w:hint="default" w:ascii="Times New Roman" w:hAnsi="Times New Roman" w:eastAsia="仿宋" w:cs="Times New Roman"/>
                <w:b w:val="0"/>
                <w:bCs w:val="0"/>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101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000000"/>
                <w:sz w:val="24"/>
                <w:szCs w:val="24"/>
                <w:u w:val="none"/>
                <w:lang w:val="en-US" w:eastAsia="zh-CN"/>
              </w:rPr>
              <w:t>外购</w:t>
            </w:r>
            <w:r>
              <w:rPr>
                <w:rFonts w:hint="default" w:ascii="Times New Roman" w:hAnsi="Times New Roman" w:eastAsia="仿宋" w:cs="Times New Roman"/>
                <w:b w:val="0"/>
                <w:bCs w:val="0"/>
                <w:color w:val="000000"/>
                <w:sz w:val="24"/>
                <w:szCs w:val="24"/>
                <w:u w:val="none"/>
                <w:lang w:eastAsia="zh-CN"/>
              </w:rPr>
              <w:t>热力</w:t>
            </w:r>
          </w:p>
        </w:tc>
        <w:tc>
          <w:tcPr>
            <w:tcW w:w="1026"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CO</w:t>
            </w:r>
            <w:r>
              <w:rPr>
                <w:rFonts w:hint="default" w:ascii="Times New Roman" w:hAnsi="Times New Roman" w:eastAsia="仿宋" w:cs="Times New Roman"/>
                <w:b w:val="0"/>
                <w:bCs w:val="0"/>
                <w:color w:val="auto"/>
                <w:kern w:val="0"/>
                <w:sz w:val="24"/>
                <w:szCs w:val="24"/>
                <w:u w:val="none"/>
                <w:vertAlign w:val="subscript"/>
              </w:rPr>
              <w:t>2</w:t>
            </w:r>
          </w:p>
        </w:tc>
        <w:tc>
          <w:tcPr>
            <w:tcW w:w="1038" w:type="pct"/>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color w:val="auto"/>
                <w:sz w:val="24"/>
                <w:szCs w:val="24"/>
                <w:u w:val="none"/>
                <w:lang w:val="en-US" w:eastAsia="zh-CN"/>
              </w:rPr>
            </w:pPr>
            <w:r>
              <w:rPr>
                <w:rFonts w:hint="default" w:ascii="Times New Roman" w:hAnsi="Times New Roman" w:eastAsia="仿宋" w:cs="Times New Roman"/>
                <w:b w:val="0"/>
                <w:bCs w:val="0"/>
                <w:color w:val="auto"/>
                <w:sz w:val="24"/>
                <w:szCs w:val="24"/>
                <w:u w:val="none"/>
                <w:lang w:val="en-US" w:eastAsia="zh-CN"/>
              </w:rPr>
              <w:t>9572.64</w:t>
            </w:r>
          </w:p>
        </w:tc>
        <w:tc>
          <w:tcPr>
            <w:tcW w:w="94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生产、生活</w:t>
            </w:r>
          </w:p>
        </w:tc>
        <w:tc>
          <w:tcPr>
            <w:tcW w:w="96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color w:val="auto"/>
                <w:sz w:val="24"/>
                <w:szCs w:val="24"/>
                <w:u w:val="none"/>
                <w:lang w:val="en-US" w:eastAsia="zh-CN"/>
              </w:rPr>
            </w:pPr>
            <w:r>
              <w:rPr>
                <w:rFonts w:hint="eastAsia" w:ascii="Times New Roman" w:hAnsi="Times New Roman" w:eastAsia="仿宋" w:cs="Times New Roman"/>
                <w:b w:val="0"/>
                <w:bCs w:val="0"/>
                <w:i w:val="0"/>
                <w:iCs w:val="0"/>
                <w:color w:val="000000"/>
                <w:kern w:val="0"/>
                <w:sz w:val="24"/>
                <w:szCs w:val="24"/>
                <w:u w:val="none"/>
                <w:lang w:val="en-US" w:eastAsia="zh-CN" w:bidi="ar"/>
              </w:rPr>
              <w:t>7.64</w:t>
            </w:r>
            <w:r>
              <w:rPr>
                <w:rFonts w:hint="default" w:ascii="Times New Roman" w:hAnsi="Times New Roman" w:eastAsia="仿宋" w:cs="Times New Roman"/>
                <w:b w:val="0"/>
                <w:bCs w:val="0"/>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101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仿宋" w:cs="Times New Roman"/>
                <w:b w:val="0"/>
                <w:bCs w:val="0"/>
                <w:color w:val="auto"/>
                <w:kern w:val="0"/>
                <w:sz w:val="24"/>
                <w:szCs w:val="24"/>
                <w:u w:val="none"/>
              </w:rPr>
            </w:pPr>
            <w:r>
              <w:rPr>
                <w:rFonts w:hint="eastAsia" w:ascii="Times New Roman" w:hAnsi="Times New Roman" w:eastAsia="仿宋" w:cs="Times New Roman"/>
                <w:b w:val="0"/>
                <w:bCs w:val="0"/>
                <w:i w:val="0"/>
                <w:iCs w:val="0"/>
                <w:color w:val="000000"/>
                <w:kern w:val="0"/>
                <w:sz w:val="24"/>
                <w:szCs w:val="24"/>
                <w:u w:val="none"/>
                <w:lang w:val="en-US" w:eastAsia="zh-CN" w:bidi="ar"/>
              </w:rPr>
              <w:t>天然气</w:t>
            </w:r>
          </w:p>
        </w:tc>
        <w:tc>
          <w:tcPr>
            <w:tcW w:w="1026"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CO</w:t>
            </w:r>
            <w:r>
              <w:rPr>
                <w:rFonts w:hint="default" w:ascii="Times New Roman" w:hAnsi="Times New Roman" w:eastAsia="仿宋" w:cs="Times New Roman"/>
                <w:b w:val="0"/>
                <w:bCs w:val="0"/>
                <w:color w:val="auto"/>
                <w:kern w:val="0"/>
                <w:sz w:val="24"/>
                <w:szCs w:val="24"/>
                <w:u w:val="none"/>
                <w:vertAlign w:val="subscript"/>
              </w:rPr>
              <w:t>2</w:t>
            </w:r>
          </w:p>
        </w:tc>
        <w:tc>
          <w:tcPr>
            <w:tcW w:w="1038" w:type="pct"/>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color w:val="auto"/>
                <w:sz w:val="24"/>
                <w:szCs w:val="24"/>
                <w:u w:val="none"/>
                <w:lang w:val="en-US" w:eastAsia="zh-CN"/>
              </w:rPr>
            </w:pPr>
            <w:r>
              <w:rPr>
                <w:rFonts w:hint="default" w:ascii="Times New Roman" w:hAnsi="Times New Roman" w:eastAsia="仿宋" w:cs="Times New Roman"/>
                <w:b w:val="0"/>
                <w:bCs w:val="0"/>
                <w:color w:val="auto"/>
                <w:sz w:val="24"/>
                <w:szCs w:val="24"/>
                <w:u w:val="none"/>
                <w:lang w:val="en-US" w:eastAsia="zh-CN"/>
              </w:rPr>
              <w:t>209.80</w:t>
            </w:r>
          </w:p>
        </w:tc>
        <w:tc>
          <w:tcPr>
            <w:tcW w:w="94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Times New Roman" w:hAnsi="Times New Roman" w:eastAsia="仿宋" w:cs="Times New Roman"/>
                <w:b w:val="0"/>
                <w:bCs w:val="0"/>
                <w:color w:val="auto"/>
                <w:kern w:val="0"/>
                <w:sz w:val="24"/>
                <w:szCs w:val="24"/>
                <w:u w:val="none"/>
                <w:lang w:val="en-US" w:eastAsia="zh-CN"/>
              </w:rPr>
            </w:pPr>
            <w:r>
              <w:rPr>
                <w:rFonts w:hint="eastAsia" w:ascii="Times New Roman" w:hAnsi="Times New Roman" w:eastAsia="仿宋" w:cs="Times New Roman"/>
                <w:b w:val="0"/>
                <w:bCs w:val="0"/>
                <w:color w:val="auto"/>
                <w:kern w:val="0"/>
                <w:sz w:val="24"/>
                <w:szCs w:val="24"/>
                <w:u w:val="none"/>
                <w:lang w:val="en-US" w:eastAsia="zh-CN"/>
              </w:rPr>
              <w:t>焚烧炉</w:t>
            </w:r>
          </w:p>
        </w:tc>
        <w:tc>
          <w:tcPr>
            <w:tcW w:w="96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color w:val="auto"/>
                <w:sz w:val="24"/>
                <w:szCs w:val="24"/>
                <w:u w:val="none"/>
                <w:lang w:val="en-US" w:eastAsia="zh-CN"/>
              </w:rPr>
            </w:pPr>
            <w:r>
              <w:rPr>
                <w:rFonts w:hint="eastAsia" w:ascii="Times New Roman" w:hAnsi="Times New Roman" w:eastAsia="仿宋" w:cs="Times New Roman"/>
                <w:b w:val="0"/>
                <w:bCs w:val="0"/>
                <w:i w:val="0"/>
                <w:iCs w:val="0"/>
                <w:color w:val="000000"/>
                <w:kern w:val="0"/>
                <w:sz w:val="24"/>
                <w:szCs w:val="24"/>
                <w:u w:val="none"/>
                <w:lang w:val="en-US" w:eastAsia="zh-CN" w:bidi="ar"/>
              </w:rPr>
              <w:t>0.16</w:t>
            </w:r>
            <w:r>
              <w:rPr>
                <w:rFonts w:hint="default" w:ascii="Times New Roman" w:hAnsi="Times New Roman" w:eastAsia="仿宋" w:cs="Times New Roman"/>
                <w:b w:val="0"/>
                <w:bCs w:val="0"/>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19"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合计</w:t>
            </w:r>
          </w:p>
        </w:tc>
        <w:tc>
          <w:tcPr>
            <w:tcW w:w="1026" w:type="pct"/>
            <w:shd w:val="clear" w:color="auto" w:fill="auto"/>
            <w:vAlign w:val="center"/>
          </w:tcPr>
          <w:p>
            <w:pPr>
              <w:widowControl/>
              <w:jc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color w:val="auto"/>
                <w:kern w:val="0"/>
                <w:sz w:val="24"/>
                <w:szCs w:val="24"/>
                <w:u w:val="none"/>
              </w:rPr>
              <w:t>CO</w:t>
            </w:r>
            <w:r>
              <w:rPr>
                <w:rFonts w:hint="default" w:ascii="Times New Roman" w:hAnsi="Times New Roman" w:eastAsia="仿宋" w:cs="Times New Roman"/>
                <w:b w:val="0"/>
                <w:bCs w:val="0"/>
                <w:color w:val="auto"/>
                <w:kern w:val="0"/>
                <w:sz w:val="24"/>
                <w:szCs w:val="24"/>
                <w:u w:val="none"/>
                <w:vertAlign w:val="subscript"/>
              </w:rPr>
              <w:t>2</w:t>
            </w:r>
          </w:p>
        </w:tc>
        <w:tc>
          <w:tcPr>
            <w:tcW w:w="1038" w:type="pct"/>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color w:val="auto"/>
                <w:sz w:val="24"/>
                <w:szCs w:val="24"/>
                <w:u w:val="none"/>
              </w:rPr>
            </w:pPr>
            <w:r>
              <w:rPr>
                <w:rFonts w:hint="default" w:ascii="Times New Roman" w:hAnsi="Times New Roman" w:eastAsia="仿宋" w:cs="Times New Roman"/>
                <w:b w:val="0"/>
                <w:bCs w:val="0"/>
                <w:color w:val="auto"/>
                <w:sz w:val="24"/>
                <w:szCs w:val="24"/>
                <w:u w:val="none"/>
              </w:rPr>
              <w:t>125362.36</w:t>
            </w:r>
          </w:p>
        </w:tc>
        <w:tc>
          <w:tcPr>
            <w:tcW w:w="949" w:type="pct"/>
            <w:shd w:val="clear" w:color="auto" w:fill="auto"/>
            <w:vAlign w:val="center"/>
          </w:tcPr>
          <w:p>
            <w:pPr>
              <w:widowControl/>
              <w:jc w:val="center"/>
              <w:rPr>
                <w:rFonts w:hint="eastAsia" w:ascii="Times New Roman" w:hAnsi="Times New Roman" w:eastAsia="仿宋" w:cs="Times New Roman"/>
                <w:b w:val="0"/>
                <w:bCs w:val="0"/>
                <w:color w:val="auto"/>
                <w:kern w:val="0"/>
                <w:sz w:val="24"/>
                <w:szCs w:val="24"/>
                <w:u w:val="none"/>
                <w:lang w:val="en-US" w:eastAsia="zh-CN"/>
              </w:rPr>
            </w:pPr>
            <w:r>
              <w:rPr>
                <w:rFonts w:hint="eastAsia" w:ascii="Times New Roman" w:hAnsi="Times New Roman" w:eastAsia="仿宋" w:cs="Times New Roman"/>
                <w:b w:val="0"/>
                <w:bCs w:val="0"/>
                <w:color w:val="auto"/>
                <w:kern w:val="0"/>
                <w:sz w:val="24"/>
                <w:szCs w:val="24"/>
                <w:u w:val="none"/>
                <w:lang w:val="en-US" w:eastAsia="zh-CN"/>
              </w:rPr>
              <w:t>/</w:t>
            </w:r>
          </w:p>
        </w:tc>
        <w:tc>
          <w:tcPr>
            <w:tcW w:w="96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color w:val="auto"/>
                <w:kern w:val="0"/>
                <w:sz w:val="24"/>
                <w:szCs w:val="24"/>
                <w:u w:val="none"/>
              </w:rPr>
            </w:pPr>
            <w:r>
              <w:rPr>
                <w:rFonts w:hint="default" w:ascii="Times New Roman" w:hAnsi="Times New Roman" w:eastAsia="仿宋" w:cs="Times New Roman"/>
                <w:b w:val="0"/>
                <w:bCs w:val="0"/>
                <w:i w:val="0"/>
                <w:iCs w:val="0"/>
                <w:color w:val="000000"/>
                <w:kern w:val="0"/>
                <w:sz w:val="24"/>
                <w:szCs w:val="24"/>
                <w:u w:val="none"/>
                <w:lang w:val="en-US" w:eastAsia="zh-CN" w:bidi="ar"/>
              </w:rPr>
              <w:t>100.00%</w:t>
            </w:r>
          </w:p>
        </w:tc>
      </w:tr>
    </w:tbl>
    <w:p>
      <w:pPr>
        <w:widowControl/>
        <w:jc w:val="center"/>
        <w:rPr>
          <w:rFonts w:hint="default" w:ascii="Times New Roman" w:hAnsi="Times New Roman" w:eastAsia="宋体" w:cs="Times New Roman"/>
          <w:color w:val="auto"/>
          <w:kern w:val="0"/>
          <w:sz w:val="24"/>
          <w:szCs w:val="24"/>
        </w:rPr>
      </w:pPr>
    </w:p>
    <w:p>
      <w:pPr>
        <w:widowControl/>
        <w:shd w:val="clear" w:color="auto" w:fill="FFFFFF"/>
        <w:spacing w:line="360" w:lineRule="auto"/>
        <w:ind w:firstLine="560" w:firstLineChars="200"/>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202</w:t>
      </w:r>
      <w:r>
        <w:rPr>
          <w:rFonts w:hint="default" w:ascii="Times New Roman" w:hAnsi="Times New Roman" w:eastAsia="仿宋" w:cs="Times New Roman"/>
          <w:color w:val="auto"/>
          <w:kern w:val="0"/>
          <w:sz w:val="28"/>
          <w:szCs w:val="28"/>
          <w:highlight w:val="none"/>
          <w:lang w:val="en-US" w:eastAsia="zh-CN"/>
        </w:rPr>
        <w:t>2</w:t>
      </w:r>
      <w:r>
        <w:rPr>
          <w:rFonts w:hint="default" w:ascii="Times New Roman" w:hAnsi="Times New Roman" w:eastAsia="仿宋" w:cs="Times New Roman"/>
          <w:color w:val="auto"/>
          <w:kern w:val="0"/>
          <w:sz w:val="28"/>
          <w:szCs w:val="28"/>
          <w:highlight w:val="none"/>
        </w:rPr>
        <w:t>年公司产品总产量为</w:t>
      </w:r>
      <w:r>
        <w:rPr>
          <w:rFonts w:hint="default" w:ascii="Times New Roman" w:hAnsi="Times New Roman" w:eastAsia="仿宋" w:cs="Times New Roman"/>
          <w:color w:val="auto"/>
          <w:kern w:val="0"/>
          <w:sz w:val="28"/>
          <w:szCs w:val="28"/>
          <w:highlight w:val="none"/>
          <w:lang w:val="en-US" w:eastAsia="zh-CN"/>
        </w:rPr>
        <w:t>34803</w:t>
      </w:r>
      <w:r>
        <w:rPr>
          <w:rFonts w:hint="default" w:ascii="Times New Roman" w:hAnsi="Times New Roman" w:eastAsia="仿宋" w:cs="Times New Roman"/>
          <w:color w:val="auto"/>
          <w:kern w:val="0"/>
          <w:sz w:val="28"/>
          <w:szCs w:val="28"/>
          <w:highlight w:val="none"/>
        </w:rPr>
        <w:t>t</w:t>
      </w:r>
      <w:r>
        <w:rPr>
          <w:rFonts w:hint="eastAsia" w:ascii="Times New Roman" w:hAnsi="Times New Roman" w:eastAsia="仿宋" w:cs="Times New Roman"/>
          <w:color w:val="auto"/>
          <w:kern w:val="0"/>
          <w:sz w:val="28"/>
          <w:szCs w:val="28"/>
          <w:highlight w:val="none"/>
          <w:lang w:eastAsia="zh-CN"/>
        </w:rPr>
        <w:t>，</w:t>
      </w:r>
      <w:r>
        <w:rPr>
          <w:rFonts w:hint="default" w:ascii="Times New Roman" w:hAnsi="Times New Roman" w:eastAsia="仿宋" w:cs="Times New Roman"/>
          <w:color w:val="auto"/>
          <w:kern w:val="0"/>
          <w:sz w:val="28"/>
          <w:szCs w:val="28"/>
          <w:highlight w:val="none"/>
        </w:rPr>
        <w:t>则单位产品碳强度e =</w:t>
      </w:r>
      <w:r>
        <w:rPr>
          <w:rFonts w:hint="default" w:ascii="Times New Roman" w:hAnsi="Times New Roman" w:eastAsia="仿宋" w:cs="Times New Roman"/>
          <w:b w:val="0"/>
          <w:bCs w:val="0"/>
          <w:i w:val="0"/>
          <w:iCs w:val="0"/>
          <w:color w:val="000000"/>
          <w:kern w:val="0"/>
          <w:sz w:val="28"/>
          <w:szCs w:val="28"/>
          <w:highlight w:val="none"/>
          <w:u w:val="none"/>
          <w:lang w:val="en-US" w:eastAsia="zh-CN" w:bidi="ar"/>
        </w:rPr>
        <w:t>8125362.36</w:t>
      </w:r>
      <w:r>
        <w:rPr>
          <w:rFonts w:hint="default" w:ascii="Times New Roman" w:hAnsi="Times New Roman" w:eastAsia="仿宋" w:cs="Times New Roman"/>
          <w:color w:val="auto"/>
          <w:kern w:val="0"/>
          <w:sz w:val="28"/>
          <w:szCs w:val="28"/>
          <w:highlight w:val="none"/>
        </w:rPr>
        <w:t>/</w:t>
      </w:r>
      <w:r>
        <w:rPr>
          <w:rFonts w:hint="eastAsia" w:ascii="Times New Roman" w:cs="Times New Roman"/>
          <w:color w:val="000000"/>
          <w:sz w:val="28"/>
          <w:szCs w:val="28"/>
          <w:highlight w:val="none"/>
          <w:lang w:val="en-US" w:eastAsia="zh-CN"/>
        </w:rPr>
        <w:t>34803</w:t>
      </w:r>
      <w:r>
        <w:rPr>
          <w:rFonts w:hint="default" w:ascii="Times New Roman" w:hAnsi="Times New Roman" w:eastAsia="仿宋" w:cs="Times New Roman"/>
          <w:color w:val="auto"/>
          <w:kern w:val="0"/>
          <w:sz w:val="28"/>
          <w:szCs w:val="28"/>
          <w:highlight w:val="none"/>
        </w:rPr>
        <w:t>=</w:t>
      </w:r>
      <w:r>
        <w:rPr>
          <w:rFonts w:hint="eastAsia" w:ascii="Times New Roman" w:hAnsi="Times New Roman" w:eastAsia="仿宋" w:cs="Times New Roman"/>
          <w:color w:val="auto"/>
          <w:kern w:val="0"/>
          <w:sz w:val="28"/>
          <w:szCs w:val="28"/>
          <w:highlight w:val="none"/>
          <w:lang w:val="en-US" w:eastAsia="zh-CN"/>
        </w:rPr>
        <w:t>3.602</w:t>
      </w:r>
      <w:r>
        <w:rPr>
          <w:rFonts w:hint="default" w:ascii="Times New Roman" w:hAnsi="Times New Roman" w:eastAsia="仿宋" w:cs="Times New Roman"/>
          <w:color w:val="auto"/>
          <w:kern w:val="0"/>
          <w:sz w:val="28"/>
          <w:szCs w:val="28"/>
          <w:highlight w:val="none"/>
        </w:rPr>
        <w:t>t/t。</w:t>
      </w:r>
    </w:p>
    <w:p>
      <w:pPr>
        <w:pStyle w:val="22"/>
        <w:widowControl/>
        <w:numPr>
          <w:ilvl w:val="0"/>
          <w:numId w:val="1"/>
        </w:numPr>
        <w:shd w:val="clear" w:color="auto" w:fill="FFFFFF"/>
        <w:spacing w:line="480" w:lineRule="auto"/>
        <w:ind w:firstLineChars="0"/>
        <w:jc w:val="left"/>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改善措施</w:t>
      </w:r>
    </w:p>
    <w:p>
      <w:pPr>
        <w:widowControl/>
        <w:shd w:val="clear" w:color="auto" w:fill="FFFFFF"/>
        <w:spacing w:line="360" w:lineRule="auto"/>
        <w:ind w:firstLine="560" w:firstLineChars="20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1.完善碳排放管理体系，运用现代管理思想，借鉴成熟管理模式，将过程分析方法、系统工程原理和策划、实施、检测、改进（PDCA）循环管理理念引入企业碳排放管理；</w:t>
      </w:r>
    </w:p>
    <w:p>
      <w:pPr>
        <w:widowControl/>
        <w:shd w:val="clear" w:color="auto" w:fill="FFFFFF"/>
        <w:spacing w:line="360" w:lineRule="auto"/>
        <w:ind w:firstLine="560" w:firstLineChars="20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2.建议采用低耗能、高效率的设备：</w:t>
      </w:r>
    </w:p>
    <w:p>
      <w:pPr>
        <w:shd w:val="clear" w:color="auto" w:fill="FFFFFF"/>
        <w:spacing w:line="360" w:lineRule="auto"/>
        <w:ind w:firstLine="560" w:firstLineChars="20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3.加快生产的信息化、自动化技术，既可以免去大量的体力劳动，节约大量的人力成本，有效避免人为差错</w:t>
      </w:r>
      <w:r>
        <w:rPr>
          <w:rFonts w:hint="eastAsia" w:ascii="Times New Roman" w:hAnsi="Times New Roman" w:eastAsia="仿宋" w:cs="Times New Roman"/>
          <w:color w:val="auto"/>
          <w:kern w:val="0"/>
          <w:sz w:val="28"/>
          <w:szCs w:val="28"/>
          <w:lang w:eastAsia="zh-CN"/>
        </w:rPr>
        <w:t>；</w:t>
      </w:r>
      <w:r>
        <w:rPr>
          <w:rFonts w:hint="default" w:ascii="Times New Roman" w:hAnsi="Times New Roman" w:eastAsia="仿宋" w:cs="Times New Roman"/>
          <w:color w:val="auto"/>
          <w:kern w:val="0"/>
          <w:sz w:val="28"/>
          <w:szCs w:val="28"/>
        </w:rPr>
        <w:t>还可以提高原料加入的高精度，避免人为误差导致质量不稳定；</w:t>
      </w:r>
    </w:p>
    <w:p>
      <w:pPr>
        <w:shd w:val="clear" w:color="auto" w:fill="FFFFFF"/>
        <w:spacing w:line="360" w:lineRule="auto"/>
        <w:ind w:firstLine="560" w:firstLineChars="20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lang w:val="en-US" w:eastAsia="zh-CN"/>
        </w:rPr>
        <w:t>4</w:t>
      </w:r>
      <w:r>
        <w:rPr>
          <w:rFonts w:hint="default" w:ascii="Times New Roman" w:hAnsi="Times New Roman" w:eastAsia="仿宋" w:cs="Times New Roman"/>
          <w:color w:val="auto"/>
          <w:kern w:val="0"/>
          <w:sz w:val="28"/>
          <w:szCs w:val="28"/>
        </w:rPr>
        <w:t>.建议在工厂范围内植树，提高绿化率，通过植物光合作用来降低温室效应。</w:t>
      </w:r>
    </w:p>
    <w:p>
      <w:pPr>
        <w:pStyle w:val="22"/>
        <w:widowControl/>
        <w:numPr>
          <w:ilvl w:val="0"/>
          <w:numId w:val="1"/>
        </w:numPr>
        <w:shd w:val="clear" w:color="auto" w:fill="FFFFFF"/>
        <w:spacing w:line="480" w:lineRule="auto"/>
        <w:ind w:firstLineChars="0"/>
        <w:jc w:val="left"/>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结语</w:t>
      </w:r>
    </w:p>
    <w:p>
      <w:pPr>
        <w:widowControl/>
        <w:shd w:val="clear" w:color="auto" w:fill="FFFFFF"/>
        <w:spacing w:line="480" w:lineRule="auto"/>
        <w:ind w:firstLine="480"/>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产品碳足迹核算已成为国家应对气候变化、发展低碳经济的全新阐述方式，它以生命周期为视角，帮助理清企业温室气体排放环节和排放情况，侧面</w:t>
      </w:r>
      <w:r>
        <w:rPr>
          <w:rFonts w:hint="eastAsia" w:ascii="Times New Roman" w:hAnsi="Times New Roman" w:eastAsia="仿宋" w:cs="Times New Roman"/>
          <w:color w:val="auto"/>
          <w:kern w:val="0"/>
          <w:sz w:val="28"/>
          <w:szCs w:val="28"/>
          <w:lang w:eastAsia="zh-CN"/>
        </w:rPr>
        <w:t>反映</w:t>
      </w:r>
      <w:bookmarkStart w:id="0" w:name="_GoBack"/>
      <w:bookmarkEnd w:id="0"/>
      <w:r>
        <w:rPr>
          <w:rFonts w:hint="default" w:ascii="Times New Roman" w:hAnsi="Times New Roman" w:eastAsia="仿宋" w:cs="Times New Roman"/>
          <w:color w:val="auto"/>
          <w:kern w:val="0"/>
          <w:sz w:val="28"/>
          <w:szCs w:val="28"/>
        </w:rPr>
        <w:t>产品系统运营效率的高低，为企业发掘减少排放和节约成本的机会，也为企业的可持续发展战略奠定了基础。</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3356062"/>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_GB2312" w:eastAsia="仿宋_GB2312"/>
      </w:rPr>
    </w:pPr>
    <w:r>
      <w:rPr>
        <w:rFonts w:hint="eastAsia" w:ascii="仿宋_GB2312" w:eastAsia="仿宋_GB2312"/>
        <w:lang w:eastAsia="zh-CN"/>
      </w:rPr>
      <w:t>内蒙古</w:t>
    </w:r>
    <w:r>
      <w:rPr>
        <w:rFonts w:hint="eastAsia" w:ascii="仿宋_GB2312" w:eastAsia="仿宋_GB2312"/>
        <w:lang w:val="en-US" w:eastAsia="zh-CN"/>
      </w:rPr>
      <w:t>圣钒科技新能源</w:t>
    </w:r>
    <w:r>
      <w:rPr>
        <w:rFonts w:hint="eastAsia" w:ascii="仿宋_GB2312" w:eastAsia="仿宋_GB2312"/>
        <w:lang w:eastAsia="zh-CN"/>
      </w:rPr>
      <w:t>有限公司</w:t>
    </w:r>
    <w:r>
      <w:rPr>
        <w:rFonts w:hint="eastAsia" w:ascii="仿宋_GB2312" w:eastAsia="仿宋_GB2312"/>
      </w:rPr>
      <w:t>碳足迹核算报告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F24335"/>
    <w:multiLevelType w:val="multilevel"/>
    <w:tmpl w:val="17F24335"/>
    <w:lvl w:ilvl="0" w:tentative="0">
      <w:start w:val="1"/>
      <w:numFmt w:val="chineseCountingThousand"/>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9E1BC2"/>
    <w:multiLevelType w:val="multilevel"/>
    <w:tmpl w:val="659E1BC2"/>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7210485"/>
    <w:multiLevelType w:val="multilevel"/>
    <w:tmpl w:val="7721048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lMDJkMWY0NzMwOTMyNjM3YWM1MjE4YWZjMjliZmIifQ=="/>
  </w:docVars>
  <w:rsids>
    <w:rsidRoot w:val="005F79BD"/>
    <w:rsid w:val="0001612B"/>
    <w:rsid w:val="00081E79"/>
    <w:rsid w:val="000959B9"/>
    <w:rsid w:val="00103063"/>
    <w:rsid w:val="00112F4D"/>
    <w:rsid w:val="0012730F"/>
    <w:rsid w:val="00136D02"/>
    <w:rsid w:val="00146DF5"/>
    <w:rsid w:val="001C7779"/>
    <w:rsid w:val="001F0F6D"/>
    <w:rsid w:val="001F59F7"/>
    <w:rsid w:val="002B2104"/>
    <w:rsid w:val="002D188C"/>
    <w:rsid w:val="003B0285"/>
    <w:rsid w:val="003E03AD"/>
    <w:rsid w:val="00446337"/>
    <w:rsid w:val="004501DF"/>
    <w:rsid w:val="0047174D"/>
    <w:rsid w:val="00591B88"/>
    <w:rsid w:val="005B216D"/>
    <w:rsid w:val="005F26F8"/>
    <w:rsid w:val="005F79BD"/>
    <w:rsid w:val="00610B32"/>
    <w:rsid w:val="006221CC"/>
    <w:rsid w:val="0065145B"/>
    <w:rsid w:val="00690F62"/>
    <w:rsid w:val="006A68CD"/>
    <w:rsid w:val="006F502B"/>
    <w:rsid w:val="00765C51"/>
    <w:rsid w:val="007A22B1"/>
    <w:rsid w:val="007B77C6"/>
    <w:rsid w:val="007E3398"/>
    <w:rsid w:val="007E5A2F"/>
    <w:rsid w:val="0087486E"/>
    <w:rsid w:val="008A5B25"/>
    <w:rsid w:val="008C43C5"/>
    <w:rsid w:val="009477FC"/>
    <w:rsid w:val="009B491D"/>
    <w:rsid w:val="009E178B"/>
    <w:rsid w:val="00A27A8F"/>
    <w:rsid w:val="00A57583"/>
    <w:rsid w:val="00A65624"/>
    <w:rsid w:val="00AD556F"/>
    <w:rsid w:val="00B91B7D"/>
    <w:rsid w:val="00BB5163"/>
    <w:rsid w:val="00BC0DC7"/>
    <w:rsid w:val="00BF2A6A"/>
    <w:rsid w:val="00C3146C"/>
    <w:rsid w:val="00C5706B"/>
    <w:rsid w:val="00CB1400"/>
    <w:rsid w:val="00CB7BA8"/>
    <w:rsid w:val="00CE282E"/>
    <w:rsid w:val="00CF286F"/>
    <w:rsid w:val="00CF4E3F"/>
    <w:rsid w:val="00CF7FB2"/>
    <w:rsid w:val="00D02B26"/>
    <w:rsid w:val="00D30932"/>
    <w:rsid w:val="00D701EF"/>
    <w:rsid w:val="00E011BD"/>
    <w:rsid w:val="00E10A4F"/>
    <w:rsid w:val="00E26FE2"/>
    <w:rsid w:val="00E3452F"/>
    <w:rsid w:val="00E7309A"/>
    <w:rsid w:val="00E95FA8"/>
    <w:rsid w:val="00ED7173"/>
    <w:rsid w:val="00EF151C"/>
    <w:rsid w:val="00EF4DE2"/>
    <w:rsid w:val="00F41851"/>
    <w:rsid w:val="00F7043B"/>
    <w:rsid w:val="00F83718"/>
    <w:rsid w:val="00F927F9"/>
    <w:rsid w:val="00FA1283"/>
    <w:rsid w:val="03346E67"/>
    <w:rsid w:val="073B1607"/>
    <w:rsid w:val="08EB220C"/>
    <w:rsid w:val="10B85448"/>
    <w:rsid w:val="10D17245"/>
    <w:rsid w:val="14982E56"/>
    <w:rsid w:val="1907098A"/>
    <w:rsid w:val="1AC02E15"/>
    <w:rsid w:val="1C1C0BD8"/>
    <w:rsid w:val="1DE23A38"/>
    <w:rsid w:val="23B83C9F"/>
    <w:rsid w:val="24D84DEE"/>
    <w:rsid w:val="278D7C4B"/>
    <w:rsid w:val="27AE3812"/>
    <w:rsid w:val="2EBD45FC"/>
    <w:rsid w:val="394F4BB1"/>
    <w:rsid w:val="3B021732"/>
    <w:rsid w:val="3B5F515D"/>
    <w:rsid w:val="436C4C0B"/>
    <w:rsid w:val="4383394D"/>
    <w:rsid w:val="463915DD"/>
    <w:rsid w:val="4B533C05"/>
    <w:rsid w:val="4BE54527"/>
    <w:rsid w:val="522C46AD"/>
    <w:rsid w:val="5A33039E"/>
    <w:rsid w:val="5DAB5410"/>
    <w:rsid w:val="6305360E"/>
    <w:rsid w:val="6567317D"/>
    <w:rsid w:val="6D664231"/>
    <w:rsid w:val="6E111B31"/>
    <w:rsid w:val="6F393088"/>
    <w:rsid w:val="716B32F6"/>
    <w:rsid w:val="73262B67"/>
    <w:rsid w:val="77040E8C"/>
    <w:rsid w:val="7CD97C49"/>
    <w:rsid w:val="7CE30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 w:val="32"/>
      <w:szCs w:val="32"/>
    </w:rPr>
  </w:style>
  <w:style w:type="paragraph" w:styleId="3">
    <w:name w:val="Date"/>
    <w:basedOn w:val="1"/>
    <w:next w:val="1"/>
    <w:qFormat/>
    <w:uiPriority w:val="0"/>
    <w:pPr>
      <w:ind w:left="100" w:leftChars="2500"/>
    </w:p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alloon Text"/>
    <w:basedOn w:val="1"/>
    <w:link w:val="21"/>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99"/>
    <w:rPr>
      <w:color w:val="0000FF"/>
      <w:u w:val="single"/>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character" w:customStyle="1" w:styleId="16">
    <w:name w:val="标题 1 字符"/>
    <w:basedOn w:val="12"/>
    <w:link w:val="4"/>
    <w:qFormat/>
    <w:uiPriority w:val="9"/>
    <w:rPr>
      <w:rFonts w:ascii="宋体" w:hAnsi="宋体" w:eastAsia="宋体" w:cs="宋体"/>
      <w:b/>
      <w:bCs/>
      <w:kern w:val="36"/>
      <w:sz w:val="48"/>
      <w:szCs w:val="48"/>
    </w:rPr>
  </w:style>
  <w:style w:type="character" w:customStyle="1" w:styleId="17">
    <w:name w:val="met_time"/>
    <w:basedOn w:val="12"/>
    <w:qFormat/>
    <w:uiPriority w:val="0"/>
  </w:style>
  <w:style w:type="character" w:customStyle="1" w:styleId="18">
    <w:name w:val="met_source"/>
    <w:basedOn w:val="12"/>
    <w:qFormat/>
    <w:uiPriority w:val="0"/>
  </w:style>
  <w:style w:type="character" w:customStyle="1" w:styleId="19">
    <w:name w:val="met_hits"/>
    <w:basedOn w:val="12"/>
    <w:qFormat/>
    <w:uiPriority w:val="0"/>
  </w:style>
  <w:style w:type="character" w:customStyle="1" w:styleId="20">
    <w:name w:val="met_clicks"/>
    <w:basedOn w:val="12"/>
    <w:qFormat/>
    <w:uiPriority w:val="0"/>
  </w:style>
  <w:style w:type="character" w:customStyle="1" w:styleId="21">
    <w:name w:val="批注框文本 字符"/>
    <w:basedOn w:val="12"/>
    <w:link w:val="6"/>
    <w:semiHidden/>
    <w:qFormat/>
    <w:uiPriority w:val="99"/>
    <w:rPr>
      <w:sz w:val="18"/>
      <w:szCs w:val="18"/>
    </w:rPr>
  </w:style>
  <w:style w:type="paragraph" w:styleId="22">
    <w:name w:val="List Paragraph"/>
    <w:basedOn w:val="1"/>
    <w:qFormat/>
    <w:uiPriority w:val="34"/>
    <w:pPr>
      <w:ind w:firstLine="420" w:firstLineChars="200"/>
    </w:pPr>
  </w:style>
  <w:style w:type="character" w:styleId="23">
    <w:name w:val="Placeholder Text"/>
    <w:basedOn w:val="12"/>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1737</Words>
  <Characters>2294</Characters>
  <Lines>13</Lines>
  <Paragraphs>3</Paragraphs>
  <TotalTime>16</TotalTime>
  <ScaleCrop>false</ScaleCrop>
  <LinksUpToDate>false</LinksUpToDate>
  <CharactersWithSpaces>2363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2020-03-28T14:41:00Z</dcterms:created>
  <dc:creator>yu huijuan</dc:creator>
  <cp:lastModifiedBy>文档存本地丢失不负责</cp:lastModifiedBy>
  <cp:lastPrinted>2019-10-11T14:04:00Z</cp:lastPrinted>
  <dcterms:modified xsi:type="dcterms:W3CDTF">2023-03-08T01:42:46Z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418AE1666A4A4C7FA8D01A7EB52D1D31</vt:lpwstr>
  </property>
</Properties>
</file>